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91B49" w14:textId="77777777" w:rsidR="00F31DD1" w:rsidRDefault="00F31DD1">
      <w:pPr>
        <w:spacing w:line="200" w:lineRule="auto"/>
        <w:jc w:val="both"/>
        <w:rPr>
          <w:rFonts w:ascii="Arial" w:eastAsia="Arial" w:hAnsi="Arial" w:cs="Arial"/>
          <w:b/>
          <w:sz w:val="22"/>
          <w:szCs w:val="22"/>
        </w:rPr>
      </w:pPr>
    </w:p>
    <w:p w14:paraId="31B8B53C" w14:textId="77777777" w:rsidR="00F31DD1" w:rsidRDefault="00000000">
      <w:pPr>
        <w:spacing w:line="200" w:lineRule="auto"/>
        <w:jc w:val="center"/>
        <w:rPr>
          <w:rFonts w:ascii="Arial" w:eastAsia="Arial" w:hAnsi="Arial" w:cs="Arial"/>
          <w:b/>
          <w:sz w:val="22"/>
          <w:szCs w:val="22"/>
        </w:rPr>
      </w:pPr>
      <w:r>
        <w:rPr>
          <w:rFonts w:ascii="Arial" w:eastAsia="Arial" w:hAnsi="Arial" w:cs="Arial"/>
          <w:b/>
          <w:sz w:val="22"/>
          <w:szCs w:val="22"/>
        </w:rPr>
        <w:t>MEMORANDO</w:t>
      </w:r>
    </w:p>
    <w:p w14:paraId="160D7FFD" w14:textId="77777777" w:rsidR="00F31DD1" w:rsidRDefault="00F31DD1">
      <w:pPr>
        <w:spacing w:line="200" w:lineRule="auto"/>
        <w:jc w:val="both"/>
        <w:rPr>
          <w:rFonts w:ascii="Arial" w:eastAsia="Arial" w:hAnsi="Arial" w:cs="Arial"/>
          <w:b/>
          <w:sz w:val="22"/>
          <w:szCs w:val="22"/>
        </w:rPr>
      </w:pPr>
    </w:p>
    <w:p w14:paraId="1EF3C170" w14:textId="77777777" w:rsidR="00F31DD1" w:rsidRDefault="00F31DD1">
      <w:pPr>
        <w:spacing w:line="200" w:lineRule="auto"/>
        <w:jc w:val="both"/>
        <w:rPr>
          <w:rFonts w:ascii="Arial" w:eastAsia="Arial" w:hAnsi="Arial" w:cs="Arial"/>
          <w:b/>
          <w:sz w:val="22"/>
          <w:szCs w:val="22"/>
        </w:rPr>
      </w:pPr>
    </w:p>
    <w:p w14:paraId="0850A5D4" w14:textId="77777777" w:rsidR="00F31DD1" w:rsidRDefault="00F31DD1">
      <w:pPr>
        <w:spacing w:line="276" w:lineRule="auto"/>
        <w:jc w:val="both"/>
        <w:rPr>
          <w:rFonts w:ascii="Arial" w:eastAsia="Arial" w:hAnsi="Arial" w:cs="Arial"/>
          <w:b/>
          <w:sz w:val="22"/>
          <w:szCs w:val="22"/>
        </w:rPr>
      </w:pPr>
    </w:p>
    <w:p w14:paraId="18F67C14" w14:textId="77777777" w:rsidR="00F31DD1" w:rsidRDefault="00000000">
      <w:pPr>
        <w:spacing w:line="276" w:lineRule="auto"/>
        <w:jc w:val="both"/>
        <w:rPr>
          <w:rFonts w:ascii="Arial" w:eastAsia="Arial" w:hAnsi="Arial" w:cs="Arial"/>
          <w:b/>
          <w:sz w:val="22"/>
          <w:szCs w:val="22"/>
        </w:rPr>
      </w:pPr>
      <w:r>
        <w:rPr>
          <w:rFonts w:ascii="Arial" w:eastAsia="Arial" w:hAnsi="Arial" w:cs="Arial"/>
          <w:b/>
          <w:sz w:val="22"/>
          <w:szCs w:val="22"/>
        </w:rPr>
        <w:t xml:space="preserve">PARA: </w:t>
      </w:r>
      <w:r>
        <w:rPr>
          <w:rFonts w:ascii="Arial" w:eastAsia="Arial" w:hAnsi="Arial" w:cs="Arial"/>
          <w:b/>
          <w:sz w:val="22"/>
          <w:szCs w:val="22"/>
        </w:rPr>
        <w:tab/>
        <w:t>DAVID ANTONIO GARZÓN FANDIÑO</w:t>
      </w:r>
    </w:p>
    <w:p w14:paraId="4302B85F" w14:textId="77777777" w:rsidR="00F31DD1" w:rsidRDefault="00000000">
      <w:pPr>
        <w:spacing w:line="276" w:lineRule="auto"/>
        <w:ind w:left="720" w:firstLine="720"/>
        <w:jc w:val="both"/>
        <w:rPr>
          <w:rFonts w:ascii="Arial" w:eastAsia="Arial" w:hAnsi="Arial" w:cs="Arial"/>
          <w:b/>
          <w:sz w:val="22"/>
          <w:szCs w:val="22"/>
        </w:rPr>
      </w:pPr>
      <w:r>
        <w:rPr>
          <w:rFonts w:ascii="Arial" w:eastAsia="Arial" w:hAnsi="Arial" w:cs="Arial"/>
          <w:sz w:val="22"/>
          <w:szCs w:val="22"/>
        </w:rPr>
        <w:t>Subsecretario Comisión Segunda Permanente de Gobierno</w:t>
      </w:r>
    </w:p>
    <w:p w14:paraId="5A67FBB0" w14:textId="77777777" w:rsidR="00F31DD1" w:rsidRDefault="00F31DD1">
      <w:pPr>
        <w:spacing w:line="276" w:lineRule="auto"/>
        <w:jc w:val="both"/>
        <w:rPr>
          <w:rFonts w:ascii="Arial" w:eastAsia="Arial" w:hAnsi="Arial" w:cs="Arial"/>
          <w:b/>
          <w:sz w:val="22"/>
          <w:szCs w:val="22"/>
        </w:rPr>
      </w:pPr>
    </w:p>
    <w:p w14:paraId="622F6D58" w14:textId="77777777" w:rsidR="00F31DD1" w:rsidRDefault="00000000">
      <w:pPr>
        <w:spacing w:line="276" w:lineRule="auto"/>
        <w:jc w:val="both"/>
        <w:rPr>
          <w:rFonts w:ascii="Arial" w:eastAsia="Arial" w:hAnsi="Arial" w:cs="Arial"/>
          <w:b/>
          <w:sz w:val="22"/>
          <w:szCs w:val="22"/>
        </w:rPr>
      </w:pPr>
      <w:r>
        <w:rPr>
          <w:rFonts w:ascii="Arial" w:eastAsia="Arial" w:hAnsi="Arial" w:cs="Arial"/>
          <w:b/>
          <w:sz w:val="22"/>
          <w:szCs w:val="22"/>
        </w:rPr>
        <w:t xml:space="preserve">DE: </w:t>
      </w:r>
      <w:r>
        <w:rPr>
          <w:rFonts w:ascii="Arial" w:eastAsia="Arial" w:hAnsi="Arial" w:cs="Arial"/>
          <w:b/>
          <w:sz w:val="22"/>
          <w:szCs w:val="22"/>
        </w:rPr>
        <w:tab/>
      </w:r>
      <w:r>
        <w:rPr>
          <w:rFonts w:ascii="Arial" w:eastAsia="Arial" w:hAnsi="Arial" w:cs="Arial"/>
          <w:b/>
          <w:sz w:val="22"/>
          <w:szCs w:val="22"/>
        </w:rPr>
        <w:tab/>
        <w:t>ROCÍO DUSSÁN PÉREZ</w:t>
      </w:r>
    </w:p>
    <w:p w14:paraId="5082C413" w14:textId="77777777" w:rsidR="00F31DD1" w:rsidRDefault="00000000">
      <w:pPr>
        <w:spacing w:line="276" w:lineRule="auto"/>
        <w:ind w:left="720" w:firstLine="720"/>
        <w:jc w:val="both"/>
        <w:rPr>
          <w:rFonts w:ascii="Arial" w:eastAsia="Arial" w:hAnsi="Arial" w:cs="Arial"/>
          <w:sz w:val="22"/>
          <w:szCs w:val="22"/>
        </w:rPr>
      </w:pPr>
      <w:r>
        <w:rPr>
          <w:rFonts w:ascii="Arial" w:eastAsia="Arial" w:hAnsi="Arial" w:cs="Arial"/>
          <w:sz w:val="22"/>
          <w:szCs w:val="22"/>
        </w:rPr>
        <w:t>Concejala de Bogotá D. C. - Coordinadora</w:t>
      </w:r>
    </w:p>
    <w:p w14:paraId="43A8F773" w14:textId="77777777" w:rsidR="00F31DD1" w:rsidRDefault="00F31DD1">
      <w:pPr>
        <w:spacing w:line="276" w:lineRule="auto"/>
        <w:ind w:left="720" w:firstLine="720"/>
        <w:jc w:val="both"/>
        <w:rPr>
          <w:rFonts w:ascii="Arial" w:eastAsia="Arial" w:hAnsi="Arial" w:cs="Arial"/>
          <w:b/>
          <w:sz w:val="22"/>
          <w:szCs w:val="22"/>
        </w:rPr>
      </w:pPr>
    </w:p>
    <w:p w14:paraId="4429DBDB" w14:textId="77777777" w:rsidR="00F31DD1" w:rsidRDefault="00000000">
      <w:pPr>
        <w:spacing w:line="276" w:lineRule="auto"/>
        <w:ind w:left="720" w:firstLine="720"/>
        <w:jc w:val="both"/>
        <w:rPr>
          <w:rFonts w:ascii="Arial" w:eastAsia="Arial" w:hAnsi="Arial" w:cs="Arial"/>
          <w:b/>
          <w:sz w:val="22"/>
          <w:szCs w:val="22"/>
        </w:rPr>
      </w:pPr>
      <w:r>
        <w:rPr>
          <w:rFonts w:ascii="Arial" w:eastAsia="Arial" w:hAnsi="Arial" w:cs="Arial"/>
          <w:b/>
          <w:sz w:val="22"/>
          <w:szCs w:val="22"/>
        </w:rPr>
        <w:t>ARMANDO GUTIÉRREZ GONZÁLEZ</w:t>
      </w:r>
    </w:p>
    <w:p w14:paraId="14E43BAD" w14:textId="77777777" w:rsidR="00F31DD1" w:rsidRDefault="00000000">
      <w:pPr>
        <w:spacing w:line="276" w:lineRule="auto"/>
        <w:ind w:left="720" w:firstLine="720"/>
        <w:jc w:val="both"/>
        <w:rPr>
          <w:rFonts w:ascii="Arial" w:eastAsia="Arial" w:hAnsi="Arial" w:cs="Arial"/>
          <w:sz w:val="22"/>
          <w:szCs w:val="22"/>
        </w:rPr>
      </w:pPr>
      <w:r>
        <w:rPr>
          <w:rFonts w:ascii="Arial" w:eastAsia="Arial" w:hAnsi="Arial" w:cs="Arial"/>
          <w:sz w:val="22"/>
          <w:szCs w:val="22"/>
        </w:rPr>
        <w:t>Concejal de Bogotá D. C. - Ponente</w:t>
      </w:r>
    </w:p>
    <w:p w14:paraId="12D20A88" w14:textId="77777777" w:rsidR="00F31DD1" w:rsidRDefault="00F31DD1">
      <w:pPr>
        <w:spacing w:line="200" w:lineRule="auto"/>
        <w:jc w:val="both"/>
        <w:rPr>
          <w:rFonts w:ascii="Arial" w:eastAsia="Arial" w:hAnsi="Arial" w:cs="Arial"/>
          <w:b/>
          <w:sz w:val="22"/>
          <w:szCs w:val="22"/>
        </w:rPr>
      </w:pPr>
    </w:p>
    <w:p w14:paraId="1EEABD1A" w14:textId="77777777" w:rsidR="00F31DD1" w:rsidRDefault="00000000">
      <w:pPr>
        <w:spacing w:line="276" w:lineRule="auto"/>
        <w:ind w:left="1417" w:hanging="1417"/>
        <w:jc w:val="both"/>
        <w:rPr>
          <w:rFonts w:ascii="Arial" w:eastAsia="Arial" w:hAnsi="Arial" w:cs="Arial"/>
          <w:sz w:val="22"/>
          <w:szCs w:val="22"/>
        </w:rPr>
      </w:pPr>
      <w:r>
        <w:rPr>
          <w:rFonts w:ascii="Arial" w:eastAsia="Arial" w:hAnsi="Arial" w:cs="Arial"/>
          <w:b/>
          <w:sz w:val="22"/>
          <w:szCs w:val="22"/>
        </w:rPr>
        <w:t xml:space="preserve">ASUNTO: </w:t>
      </w:r>
      <w:r>
        <w:rPr>
          <w:rFonts w:ascii="Arial" w:eastAsia="Arial" w:hAnsi="Arial" w:cs="Arial"/>
          <w:b/>
          <w:sz w:val="22"/>
          <w:szCs w:val="22"/>
        </w:rPr>
        <w:tab/>
      </w:r>
      <w:r>
        <w:rPr>
          <w:rFonts w:ascii="Arial" w:eastAsia="Arial" w:hAnsi="Arial" w:cs="Arial"/>
          <w:sz w:val="22"/>
          <w:szCs w:val="22"/>
        </w:rPr>
        <w:t>Ponencia Conjunta al Proyecto de Acuerdo 764 de 2025 para primer debate.</w:t>
      </w:r>
    </w:p>
    <w:p w14:paraId="2E65630A" w14:textId="77777777" w:rsidR="00F31DD1" w:rsidRDefault="00F31DD1">
      <w:pPr>
        <w:spacing w:line="276" w:lineRule="auto"/>
        <w:jc w:val="both"/>
        <w:rPr>
          <w:rFonts w:ascii="Arial" w:eastAsia="Arial" w:hAnsi="Arial" w:cs="Arial"/>
          <w:b/>
          <w:sz w:val="22"/>
          <w:szCs w:val="22"/>
        </w:rPr>
      </w:pPr>
    </w:p>
    <w:p w14:paraId="02955340" w14:textId="77777777" w:rsidR="00F31DD1" w:rsidRDefault="00000000">
      <w:pPr>
        <w:spacing w:line="276" w:lineRule="auto"/>
        <w:jc w:val="both"/>
        <w:rPr>
          <w:rFonts w:ascii="Arial" w:eastAsia="Arial" w:hAnsi="Arial" w:cs="Arial"/>
          <w:sz w:val="22"/>
          <w:szCs w:val="22"/>
        </w:rPr>
      </w:pPr>
      <w:r>
        <w:rPr>
          <w:rFonts w:ascii="Arial" w:eastAsia="Arial" w:hAnsi="Arial" w:cs="Arial"/>
          <w:sz w:val="22"/>
          <w:szCs w:val="22"/>
        </w:rPr>
        <w:t>Respetado Subsecretario, reciba un cordial saludo.</w:t>
      </w:r>
    </w:p>
    <w:p w14:paraId="35A75ED8" w14:textId="77777777" w:rsidR="00F31DD1" w:rsidRDefault="00F31DD1">
      <w:pPr>
        <w:spacing w:line="276" w:lineRule="auto"/>
        <w:jc w:val="both"/>
        <w:rPr>
          <w:rFonts w:ascii="Arial" w:eastAsia="Arial" w:hAnsi="Arial" w:cs="Arial"/>
          <w:sz w:val="22"/>
          <w:szCs w:val="22"/>
        </w:rPr>
      </w:pPr>
    </w:p>
    <w:p w14:paraId="70EE5ED5" w14:textId="77777777" w:rsidR="00F31DD1" w:rsidRDefault="00000000">
      <w:pPr>
        <w:spacing w:line="276" w:lineRule="auto"/>
        <w:jc w:val="both"/>
        <w:rPr>
          <w:rFonts w:ascii="Arial" w:eastAsia="Arial" w:hAnsi="Arial" w:cs="Arial"/>
          <w:sz w:val="22"/>
          <w:szCs w:val="22"/>
        </w:rPr>
      </w:pPr>
      <w:r>
        <w:rPr>
          <w:rFonts w:ascii="Arial" w:eastAsia="Arial" w:hAnsi="Arial" w:cs="Arial"/>
          <w:sz w:val="22"/>
          <w:szCs w:val="22"/>
        </w:rPr>
        <w:t xml:space="preserve">Atendiendo a la designación efectuada por la Mesa Directiva del Concejo de Bogotá, mediante el radicado 2025IE14641, y estando dentro del término reglamentario, nos permitimos presentar la </w:t>
      </w:r>
      <w:r>
        <w:rPr>
          <w:rFonts w:ascii="Arial" w:eastAsia="Arial" w:hAnsi="Arial" w:cs="Arial"/>
          <w:b/>
          <w:sz w:val="22"/>
          <w:szCs w:val="22"/>
        </w:rPr>
        <w:t>PONENCIA POSITIVA CONJUNTA</w:t>
      </w:r>
      <w:r>
        <w:rPr>
          <w:rFonts w:ascii="Arial" w:eastAsia="Arial" w:hAnsi="Arial" w:cs="Arial"/>
          <w:sz w:val="22"/>
          <w:szCs w:val="22"/>
        </w:rPr>
        <w:t xml:space="preserve"> </w:t>
      </w:r>
      <w:r>
        <w:rPr>
          <w:rFonts w:ascii="Arial" w:eastAsia="Arial" w:hAnsi="Arial" w:cs="Arial"/>
          <w:b/>
          <w:sz w:val="22"/>
          <w:szCs w:val="22"/>
        </w:rPr>
        <w:t>CON MODIFICACIONES</w:t>
      </w:r>
      <w:r>
        <w:rPr>
          <w:rFonts w:ascii="Arial" w:eastAsia="Arial" w:hAnsi="Arial" w:cs="Arial"/>
          <w:sz w:val="22"/>
          <w:szCs w:val="22"/>
        </w:rPr>
        <w:t xml:space="preserve"> al </w:t>
      </w:r>
      <w:r>
        <w:rPr>
          <w:rFonts w:ascii="Arial" w:eastAsia="Arial" w:hAnsi="Arial" w:cs="Arial"/>
          <w:b/>
          <w:sz w:val="22"/>
          <w:szCs w:val="22"/>
        </w:rPr>
        <w:t xml:space="preserve">Proyecto de Acuerdo </w:t>
      </w:r>
      <w:proofErr w:type="spellStart"/>
      <w:r>
        <w:rPr>
          <w:rFonts w:ascii="Arial" w:eastAsia="Arial" w:hAnsi="Arial" w:cs="Arial"/>
          <w:b/>
          <w:sz w:val="22"/>
          <w:szCs w:val="22"/>
        </w:rPr>
        <w:t>N°</w:t>
      </w:r>
      <w:proofErr w:type="spellEnd"/>
      <w:r>
        <w:rPr>
          <w:rFonts w:ascii="Arial" w:eastAsia="Arial" w:hAnsi="Arial" w:cs="Arial"/>
          <w:b/>
          <w:sz w:val="22"/>
          <w:szCs w:val="22"/>
        </w:rPr>
        <w:t xml:space="preserve"> 764 de 2025</w:t>
      </w:r>
      <w:r>
        <w:rPr>
          <w:rFonts w:ascii="Arial" w:eastAsia="Arial" w:hAnsi="Arial" w:cs="Arial"/>
          <w:sz w:val="22"/>
          <w:szCs w:val="22"/>
        </w:rPr>
        <w:t xml:space="preserve">, </w:t>
      </w:r>
      <w:r>
        <w:rPr>
          <w:rFonts w:ascii="Arial" w:eastAsia="Arial" w:hAnsi="Arial" w:cs="Arial"/>
          <w:i/>
          <w:sz w:val="22"/>
          <w:szCs w:val="22"/>
        </w:rPr>
        <w:t>“Por medio del cual se establece el día distrital contra la violencia vicaria y se implementan acciones para su prevención, sensibilización y atención en el Distrito Capital”</w:t>
      </w:r>
      <w:r>
        <w:rPr>
          <w:rFonts w:ascii="Arial" w:eastAsia="Arial" w:hAnsi="Arial" w:cs="Arial"/>
          <w:sz w:val="22"/>
          <w:szCs w:val="22"/>
        </w:rPr>
        <w:t>, para primer debate, dentro de los términos establecidos en el Artículo 71 del Acuerdo 741 de 2019, modificado por el Acuerdo 837 de 2022.</w:t>
      </w:r>
    </w:p>
    <w:p w14:paraId="03B90479" w14:textId="77777777" w:rsidR="00F31DD1" w:rsidRDefault="00F31DD1">
      <w:pPr>
        <w:spacing w:line="200" w:lineRule="auto"/>
        <w:jc w:val="both"/>
        <w:rPr>
          <w:rFonts w:ascii="Arial" w:eastAsia="Arial" w:hAnsi="Arial" w:cs="Arial"/>
          <w:sz w:val="22"/>
          <w:szCs w:val="22"/>
        </w:rPr>
      </w:pPr>
    </w:p>
    <w:p w14:paraId="6BED496E" w14:textId="77777777" w:rsidR="00F31DD1" w:rsidRDefault="00F31DD1">
      <w:pPr>
        <w:spacing w:line="200" w:lineRule="auto"/>
        <w:jc w:val="both"/>
        <w:rPr>
          <w:rFonts w:ascii="Arial" w:eastAsia="Arial" w:hAnsi="Arial" w:cs="Arial"/>
          <w:sz w:val="22"/>
          <w:szCs w:val="22"/>
        </w:rPr>
      </w:pPr>
    </w:p>
    <w:p w14:paraId="0926F900" w14:textId="77777777" w:rsidR="00F31DD1" w:rsidRDefault="00000000">
      <w:pPr>
        <w:spacing w:line="200" w:lineRule="auto"/>
        <w:jc w:val="both"/>
        <w:rPr>
          <w:rFonts w:ascii="Arial" w:eastAsia="Arial" w:hAnsi="Arial" w:cs="Arial"/>
          <w:sz w:val="22"/>
          <w:szCs w:val="22"/>
        </w:rPr>
      </w:pPr>
      <w:r>
        <w:rPr>
          <w:rFonts w:ascii="Arial" w:eastAsia="Arial" w:hAnsi="Arial" w:cs="Arial"/>
          <w:sz w:val="22"/>
          <w:szCs w:val="22"/>
        </w:rPr>
        <w:t>Atentamente,</w:t>
      </w:r>
    </w:p>
    <w:p w14:paraId="372B282D" w14:textId="77777777" w:rsidR="00F31DD1" w:rsidRDefault="00F31DD1">
      <w:pPr>
        <w:spacing w:line="200" w:lineRule="auto"/>
        <w:jc w:val="both"/>
        <w:rPr>
          <w:rFonts w:ascii="Arial" w:eastAsia="Arial" w:hAnsi="Arial" w:cs="Arial"/>
          <w:sz w:val="22"/>
          <w:szCs w:val="22"/>
        </w:rPr>
      </w:pPr>
    </w:p>
    <w:p w14:paraId="0DB12283" w14:textId="77777777" w:rsidR="00F31DD1" w:rsidRDefault="00F31DD1">
      <w:pPr>
        <w:spacing w:line="200" w:lineRule="auto"/>
        <w:rPr>
          <w:rFonts w:ascii="Arial" w:eastAsia="Arial" w:hAnsi="Arial" w:cs="Arial"/>
          <w:b/>
          <w:sz w:val="22"/>
          <w:szCs w:val="22"/>
        </w:rPr>
      </w:pPr>
    </w:p>
    <w:p w14:paraId="5F85BF19" w14:textId="2E6F070B" w:rsidR="00F31DD1" w:rsidRDefault="00B45D75">
      <w:pPr>
        <w:spacing w:line="200" w:lineRule="auto"/>
        <w:rPr>
          <w:rFonts w:ascii="Arial" w:eastAsia="Arial" w:hAnsi="Arial" w:cs="Arial"/>
          <w:b/>
          <w:sz w:val="22"/>
          <w:szCs w:val="22"/>
        </w:rPr>
      </w:pP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t xml:space="preserve">        </w:t>
      </w:r>
    </w:p>
    <w:p w14:paraId="2901152C" w14:textId="77777777" w:rsidR="00F31DD1" w:rsidRDefault="00000000">
      <w:pPr>
        <w:spacing w:line="200" w:lineRule="auto"/>
        <w:rPr>
          <w:rFonts w:ascii="Arial" w:eastAsia="Arial" w:hAnsi="Arial" w:cs="Arial"/>
          <w:b/>
          <w:sz w:val="22"/>
          <w:szCs w:val="22"/>
        </w:rPr>
      </w:pPr>
      <w:r>
        <w:rPr>
          <w:rFonts w:ascii="Arial" w:eastAsia="Arial" w:hAnsi="Arial" w:cs="Arial"/>
          <w:b/>
          <w:sz w:val="22"/>
          <w:szCs w:val="22"/>
        </w:rPr>
        <w:t>_____________________________                 _______________________________</w:t>
      </w:r>
    </w:p>
    <w:sdt>
      <w:sdtPr>
        <w:tag w:val="goog_rdk_0"/>
        <w:id w:val="-796918395"/>
        <w:lock w:val="contentLocked"/>
      </w:sdtPr>
      <w:sdtContent>
        <w:tbl>
          <w:tblPr>
            <w:tblStyle w:val="a8"/>
            <w:tblW w:w="885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40"/>
            <w:gridCol w:w="4410"/>
          </w:tblGrid>
          <w:tr w:rsidR="00F31DD1" w14:paraId="1E68899D" w14:textId="77777777">
            <w:trPr>
              <w:trHeight w:val="1298"/>
            </w:trPr>
            <w:tc>
              <w:tcPr>
                <w:tcW w:w="444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299612D3" w14:textId="77777777" w:rsidR="00F31DD1" w:rsidRDefault="00000000">
                <w:pPr>
                  <w:rPr>
                    <w:rFonts w:ascii="Arial" w:eastAsia="Arial" w:hAnsi="Arial" w:cs="Arial"/>
                    <w:b/>
                    <w:sz w:val="22"/>
                    <w:szCs w:val="22"/>
                  </w:rPr>
                </w:pPr>
                <w:r>
                  <w:rPr>
                    <w:rFonts w:ascii="Arial" w:eastAsia="Arial" w:hAnsi="Arial" w:cs="Arial"/>
                    <w:b/>
                    <w:sz w:val="22"/>
                    <w:szCs w:val="22"/>
                  </w:rPr>
                  <w:t>ROCÍO DUSSÁN PÉREZ</w:t>
                </w:r>
              </w:p>
              <w:p w14:paraId="7D5CFA52" w14:textId="77777777" w:rsidR="00F31DD1" w:rsidRDefault="00000000">
                <w:pPr>
                  <w:rPr>
                    <w:rFonts w:ascii="Arial" w:eastAsia="Arial" w:hAnsi="Arial" w:cs="Arial"/>
                    <w:sz w:val="22"/>
                    <w:szCs w:val="22"/>
                  </w:rPr>
                </w:pPr>
                <w:r>
                  <w:rPr>
                    <w:rFonts w:ascii="Arial" w:eastAsia="Arial" w:hAnsi="Arial" w:cs="Arial"/>
                    <w:sz w:val="22"/>
                    <w:szCs w:val="22"/>
                  </w:rPr>
                  <w:t>Concejala de Bogotá, D. C.</w:t>
                </w:r>
              </w:p>
              <w:p w14:paraId="72FC1B8A" w14:textId="77777777" w:rsidR="00F31DD1" w:rsidRDefault="00000000">
                <w:pPr>
                  <w:rPr>
                    <w:rFonts w:ascii="Arial" w:eastAsia="Arial" w:hAnsi="Arial" w:cs="Arial"/>
                    <w:sz w:val="22"/>
                    <w:szCs w:val="22"/>
                  </w:rPr>
                </w:pPr>
                <w:r>
                  <w:rPr>
                    <w:rFonts w:ascii="Arial" w:eastAsia="Arial" w:hAnsi="Arial" w:cs="Arial"/>
                    <w:sz w:val="22"/>
                    <w:szCs w:val="22"/>
                  </w:rPr>
                  <w:t>Partido Polo Democrático Alternativo</w:t>
                </w:r>
              </w:p>
              <w:p w14:paraId="4CB971CC" w14:textId="77777777" w:rsidR="00F31DD1" w:rsidRDefault="00000000">
                <w:pPr>
                  <w:rPr>
                    <w:rFonts w:ascii="Arial" w:eastAsia="Arial" w:hAnsi="Arial" w:cs="Arial"/>
                    <w:sz w:val="22"/>
                    <w:szCs w:val="22"/>
                  </w:rPr>
                </w:pPr>
                <w:r>
                  <w:rPr>
                    <w:rFonts w:ascii="Arial" w:eastAsia="Arial" w:hAnsi="Arial" w:cs="Arial"/>
                    <w:sz w:val="22"/>
                    <w:szCs w:val="22"/>
                  </w:rPr>
                  <w:t>Coordinadora ponente</w:t>
                </w:r>
              </w:p>
            </w:tc>
            <w:tc>
              <w:tcPr>
                <w:tcW w:w="441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014F71E9" w14:textId="77777777" w:rsidR="00F31DD1" w:rsidRDefault="00000000">
                <w:pPr>
                  <w:pBdr>
                    <w:top w:val="nil"/>
                    <w:left w:val="nil"/>
                    <w:bottom w:val="nil"/>
                    <w:right w:val="nil"/>
                    <w:between w:val="nil"/>
                  </w:pBdr>
                  <w:rPr>
                    <w:rFonts w:ascii="Arial" w:eastAsia="Arial" w:hAnsi="Arial" w:cs="Arial"/>
                    <w:b/>
                    <w:sz w:val="22"/>
                    <w:szCs w:val="22"/>
                  </w:rPr>
                </w:pPr>
                <w:r>
                  <w:rPr>
                    <w:rFonts w:ascii="Arial" w:eastAsia="Arial" w:hAnsi="Arial" w:cs="Arial"/>
                    <w:b/>
                    <w:sz w:val="22"/>
                    <w:szCs w:val="22"/>
                  </w:rPr>
                  <w:t>ARMANDO GUTIÉRREZ GONZÁLEZ</w:t>
                </w:r>
              </w:p>
              <w:p w14:paraId="5FD1A01B" w14:textId="77777777" w:rsidR="00F31DD1" w:rsidRDefault="00000000">
                <w:p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Concejal de Bogotá</w:t>
                </w:r>
              </w:p>
              <w:p w14:paraId="07F808F3" w14:textId="77777777" w:rsidR="00F31DD1" w:rsidRDefault="00000000">
                <w:p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 xml:space="preserve">Partido Liberal </w:t>
                </w:r>
              </w:p>
              <w:p w14:paraId="517C08C0" w14:textId="77777777" w:rsidR="00F31DD1" w:rsidRDefault="00000000">
                <w:p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Ponente</w:t>
                </w:r>
              </w:p>
            </w:tc>
          </w:tr>
        </w:tbl>
      </w:sdtContent>
    </w:sdt>
    <w:p w14:paraId="2B741A09" w14:textId="77777777" w:rsidR="00F31DD1" w:rsidRDefault="00000000">
      <w:pPr>
        <w:spacing w:line="200" w:lineRule="auto"/>
        <w:rPr>
          <w:rFonts w:ascii="Arial" w:eastAsia="Arial" w:hAnsi="Arial" w:cs="Arial"/>
          <w:b/>
          <w:sz w:val="16"/>
          <w:szCs w:val="16"/>
        </w:rPr>
      </w:pPr>
      <w:r>
        <w:rPr>
          <w:rFonts w:ascii="Arial" w:eastAsia="Arial" w:hAnsi="Arial" w:cs="Arial"/>
          <w:sz w:val="16"/>
          <w:szCs w:val="16"/>
        </w:rPr>
        <w:t xml:space="preserve">Elaboró: Daniel Alejandro Taborda Calderón          </w:t>
      </w:r>
      <w:r>
        <w:rPr>
          <w:rFonts w:ascii="Arial" w:eastAsia="Arial" w:hAnsi="Arial" w:cs="Arial"/>
          <w:sz w:val="16"/>
          <w:szCs w:val="16"/>
        </w:rPr>
        <w:tab/>
      </w:r>
      <w:r>
        <w:rPr>
          <w:rFonts w:ascii="Arial" w:eastAsia="Arial" w:hAnsi="Arial" w:cs="Arial"/>
          <w:sz w:val="16"/>
          <w:szCs w:val="16"/>
        </w:rPr>
        <w:tab/>
        <w:t xml:space="preserve">      Elaboró: Jenny Bibiana Lozada</w:t>
      </w:r>
    </w:p>
    <w:p w14:paraId="2017A87C" w14:textId="77777777" w:rsidR="00F31DD1" w:rsidRDefault="00F31DD1">
      <w:pPr>
        <w:jc w:val="center"/>
        <w:rPr>
          <w:rFonts w:ascii="Arial" w:eastAsia="Arial" w:hAnsi="Arial" w:cs="Arial"/>
          <w:b/>
          <w:sz w:val="22"/>
          <w:szCs w:val="22"/>
        </w:rPr>
      </w:pPr>
    </w:p>
    <w:p w14:paraId="46A74F06" w14:textId="77777777" w:rsidR="00F31DD1" w:rsidRDefault="00F31DD1">
      <w:pPr>
        <w:jc w:val="center"/>
        <w:rPr>
          <w:rFonts w:ascii="Arial" w:eastAsia="Arial" w:hAnsi="Arial" w:cs="Arial"/>
          <w:b/>
          <w:sz w:val="22"/>
          <w:szCs w:val="22"/>
        </w:rPr>
      </w:pPr>
    </w:p>
    <w:p w14:paraId="1B8F78F1" w14:textId="77777777" w:rsidR="00F31DD1" w:rsidRDefault="00F31DD1">
      <w:pPr>
        <w:jc w:val="center"/>
        <w:rPr>
          <w:rFonts w:ascii="Arial" w:eastAsia="Arial" w:hAnsi="Arial" w:cs="Arial"/>
          <w:b/>
          <w:sz w:val="22"/>
          <w:szCs w:val="22"/>
        </w:rPr>
      </w:pPr>
    </w:p>
    <w:p w14:paraId="7F8222B6" w14:textId="77777777" w:rsidR="00F31DD1" w:rsidRDefault="00F31DD1">
      <w:pPr>
        <w:jc w:val="center"/>
        <w:rPr>
          <w:rFonts w:ascii="Arial" w:eastAsia="Arial" w:hAnsi="Arial" w:cs="Arial"/>
          <w:b/>
          <w:sz w:val="22"/>
          <w:szCs w:val="22"/>
        </w:rPr>
      </w:pPr>
    </w:p>
    <w:p w14:paraId="7FF898C9" w14:textId="77777777" w:rsidR="00E24C30" w:rsidRDefault="00E24C30">
      <w:pPr>
        <w:jc w:val="center"/>
        <w:rPr>
          <w:rFonts w:ascii="Arial" w:eastAsia="Arial" w:hAnsi="Arial" w:cs="Arial"/>
          <w:b/>
          <w:sz w:val="22"/>
          <w:szCs w:val="22"/>
        </w:rPr>
      </w:pPr>
    </w:p>
    <w:p w14:paraId="6B9F3D73" w14:textId="77777777" w:rsidR="00E24C30" w:rsidRDefault="00E24C30">
      <w:pPr>
        <w:jc w:val="center"/>
        <w:rPr>
          <w:rFonts w:ascii="Arial" w:eastAsia="Arial" w:hAnsi="Arial" w:cs="Arial"/>
          <w:b/>
          <w:sz w:val="22"/>
          <w:szCs w:val="22"/>
        </w:rPr>
      </w:pPr>
    </w:p>
    <w:p w14:paraId="3E7AAEEE" w14:textId="77777777" w:rsidR="00F31DD1" w:rsidRDefault="00000000">
      <w:pPr>
        <w:jc w:val="center"/>
        <w:rPr>
          <w:rFonts w:ascii="Arial" w:eastAsia="Arial" w:hAnsi="Arial" w:cs="Arial"/>
          <w:b/>
          <w:sz w:val="22"/>
          <w:szCs w:val="22"/>
        </w:rPr>
      </w:pPr>
      <w:r>
        <w:rPr>
          <w:rFonts w:ascii="Arial" w:eastAsia="Arial" w:hAnsi="Arial" w:cs="Arial"/>
          <w:b/>
          <w:sz w:val="22"/>
          <w:szCs w:val="22"/>
        </w:rPr>
        <w:lastRenderedPageBreak/>
        <w:t xml:space="preserve">PONENCIA PARA PRIMER DEBATE </w:t>
      </w:r>
    </w:p>
    <w:p w14:paraId="0395C265" w14:textId="77777777" w:rsidR="00F31DD1" w:rsidRDefault="00F31DD1">
      <w:pPr>
        <w:jc w:val="center"/>
        <w:rPr>
          <w:rFonts w:ascii="Arial" w:eastAsia="Arial" w:hAnsi="Arial" w:cs="Arial"/>
          <w:b/>
          <w:sz w:val="22"/>
          <w:szCs w:val="22"/>
        </w:rPr>
      </w:pPr>
    </w:p>
    <w:p w14:paraId="234F5FAE" w14:textId="77777777" w:rsidR="00F31DD1" w:rsidRDefault="00000000">
      <w:pPr>
        <w:jc w:val="center"/>
        <w:rPr>
          <w:rFonts w:ascii="Arial" w:eastAsia="Arial" w:hAnsi="Arial" w:cs="Arial"/>
          <w:b/>
          <w:sz w:val="22"/>
          <w:szCs w:val="22"/>
        </w:rPr>
      </w:pPr>
      <w:r>
        <w:rPr>
          <w:rFonts w:ascii="Arial" w:eastAsia="Arial" w:hAnsi="Arial" w:cs="Arial"/>
          <w:b/>
          <w:sz w:val="22"/>
          <w:szCs w:val="22"/>
        </w:rPr>
        <w:t>PROYECTO DE ACUERDO N. 764 DE 2025</w:t>
      </w:r>
    </w:p>
    <w:p w14:paraId="37165886" w14:textId="77777777" w:rsidR="00F31DD1" w:rsidRDefault="00F31DD1">
      <w:pPr>
        <w:jc w:val="center"/>
        <w:rPr>
          <w:rFonts w:ascii="Arial" w:eastAsia="Arial" w:hAnsi="Arial" w:cs="Arial"/>
          <w:b/>
          <w:sz w:val="22"/>
          <w:szCs w:val="22"/>
        </w:rPr>
      </w:pPr>
    </w:p>
    <w:p w14:paraId="6F4EDD00" w14:textId="77777777" w:rsidR="00F31DD1" w:rsidRDefault="00000000">
      <w:pPr>
        <w:widowControl w:val="0"/>
        <w:spacing w:before="240" w:after="240" w:line="276" w:lineRule="auto"/>
        <w:jc w:val="both"/>
        <w:rPr>
          <w:rFonts w:ascii="Arial" w:eastAsia="Arial" w:hAnsi="Arial" w:cs="Arial"/>
          <w:i/>
          <w:sz w:val="22"/>
          <w:szCs w:val="22"/>
        </w:rPr>
      </w:pPr>
      <w:r>
        <w:rPr>
          <w:rFonts w:ascii="Arial" w:eastAsia="Arial" w:hAnsi="Arial" w:cs="Arial"/>
          <w:i/>
          <w:sz w:val="22"/>
          <w:szCs w:val="22"/>
        </w:rPr>
        <w:t xml:space="preserve">De conformidad con la designación realizada por la Presidencia del Concejo de Bogotá D.C. y con fundamento en el artículo 71 del Acuerdo 741 de 2019, nos permitimos presentar ponencia positiva con modificaciones para primer debate al Proyecto de Acuerdo No. 764 de 2025 </w:t>
      </w:r>
      <w:r>
        <w:rPr>
          <w:rFonts w:ascii="Arial" w:eastAsia="Arial" w:hAnsi="Arial" w:cs="Arial"/>
          <w:b/>
          <w:i/>
          <w:sz w:val="22"/>
          <w:szCs w:val="22"/>
        </w:rPr>
        <w:t xml:space="preserve">"por medio del cual se establece el día distrital contra la violencia vicaria y se implementan acciones para su prevención, sensibilización y atención en el distrito capital" </w:t>
      </w:r>
      <w:r>
        <w:rPr>
          <w:rFonts w:ascii="Arial" w:eastAsia="Arial" w:hAnsi="Arial" w:cs="Arial"/>
          <w:i/>
          <w:sz w:val="22"/>
          <w:szCs w:val="22"/>
        </w:rPr>
        <w:t>en los siguientes términos:</w:t>
      </w:r>
    </w:p>
    <w:p w14:paraId="3F813E6A" w14:textId="77777777" w:rsidR="00F31DD1" w:rsidRDefault="00000000">
      <w:pPr>
        <w:widowControl w:val="0"/>
        <w:spacing w:line="276" w:lineRule="auto"/>
        <w:ind w:left="446" w:right="427" w:hanging="12"/>
        <w:jc w:val="center"/>
        <w:rPr>
          <w:rFonts w:ascii="Arial" w:eastAsia="Arial" w:hAnsi="Arial" w:cs="Arial"/>
          <w:b/>
          <w:sz w:val="22"/>
          <w:szCs w:val="22"/>
        </w:rPr>
      </w:pPr>
      <w:r>
        <w:rPr>
          <w:rFonts w:ascii="Arial" w:eastAsia="Arial" w:hAnsi="Arial" w:cs="Arial"/>
          <w:b/>
          <w:sz w:val="22"/>
          <w:szCs w:val="22"/>
        </w:rPr>
        <w:t>TABLA DE CONTENIDO:</w:t>
      </w:r>
    </w:p>
    <w:p w14:paraId="5C443442" w14:textId="77777777" w:rsidR="00F31DD1" w:rsidRDefault="00F31DD1">
      <w:pPr>
        <w:widowControl w:val="0"/>
        <w:spacing w:line="276" w:lineRule="auto"/>
        <w:ind w:left="446" w:right="427" w:hanging="12"/>
        <w:jc w:val="center"/>
        <w:rPr>
          <w:rFonts w:ascii="Arial" w:eastAsia="Arial" w:hAnsi="Arial" w:cs="Arial"/>
          <w:b/>
          <w:sz w:val="22"/>
          <w:szCs w:val="22"/>
        </w:rPr>
      </w:pPr>
    </w:p>
    <w:p w14:paraId="3F95BA51" w14:textId="77777777" w:rsidR="00F31DD1" w:rsidRDefault="00000000">
      <w:pPr>
        <w:widowControl w:val="0"/>
        <w:numPr>
          <w:ilvl w:val="0"/>
          <w:numId w:val="2"/>
        </w:numPr>
        <w:pBdr>
          <w:top w:val="nil"/>
          <w:left w:val="nil"/>
          <w:bottom w:val="nil"/>
          <w:right w:val="nil"/>
          <w:between w:val="nil"/>
        </w:pBdr>
        <w:spacing w:line="276" w:lineRule="auto"/>
        <w:ind w:right="427" w:hanging="360"/>
        <w:rPr>
          <w:rFonts w:ascii="Arial" w:eastAsia="Arial" w:hAnsi="Arial" w:cs="Arial"/>
          <w:color w:val="000000"/>
        </w:rPr>
      </w:pPr>
      <w:r>
        <w:rPr>
          <w:rFonts w:ascii="Arial" w:eastAsia="Arial" w:hAnsi="Arial" w:cs="Arial"/>
          <w:color w:val="000000"/>
          <w:sz w:val="22"/>
          <w:szCs w:val="22"/>
        </w:rPr>
        <w:t xml:space="preserve">OBJETO DEL PROYECTO DE ACUERDO </w:t>
      </w:r>
    </w:p>
    <w:p w14:paraId="6E19964E" w14:textId="77777777" w:rsidR="00F31DD1" w:rsidRDefault="00000000">
      <w:pPr>
        <w:widowControl w:val="0"/>
        <w:numPr>
          <w:ilvl w:val="0"/>
          <w:numId w:val="2"/>
        </w:numPr>
        <w:pBdr>
          <w:top w:val="nil"/>
          <w:left w:val="nil"/>
          <w:bottom w:val="nil"/>
          <w:right w:val="nil"/>
          <w:between w:val="nil"/>
        </w:pBdr>
        <w:spacing w:line="276" w:lineRule="auto"/>
        <w:ind w:right="427" w:hanging="360"/>
        <w:rPr>
          <w:rFonts w:ascii="Arial" w:eastAsia="Arial" w:hAnsi="Arial" w:cs="Arial"/>
          <w:color w:val="000000"/>
        </w:rPr>
      </w:pPr>
      <w:r>
        <w:rPr>
          <w:rFonts w:ascii="Arial" w:eastAsia="Arial" w:hAnsi="Arial" w:cs="Arial"/>
          <w:color w:val="000000"/>
          <w:sz w:val="22"/>
          <w:szCs w:val="22"/>
        </w:rPr>
        <w:t xml:space="preserve">ANTECEDENTES DEL PROYECTO DE ACUERDO </w:t>
      </w:r>
    </w:p>
    <w:p w14:paraId="66A82937" w14:textId="77777777" w:rsidR="00F31DD1" w:rsidRDefault="00000000">
      <w:pPr>
        <w:widowControl w:val="0"/>
        <w:numPr>
          <w:ilvl w:val="0"/>
          <w:numId w:val="2"/>
        </w:numPr>
        <w:pBdr>
          <w:top w:val="nil"/>
          <w:left w:val="nil"/>
          <w:bottom w:val="nil"/>
          <w:right w:val="nil"/>
          <w:between w:val="nil"/>
        </w:pBdr>
        <w:spacing w:line="276" w:lineRule="auto"/>
        <w:ind w:right="427" w:hanging="360"/>
        <w:rPr>
          <w:rFonts w:ascii="Arial" w:eastAsia="Arial" w:hAnsi="Arial" w:cs="Arial"/>
          <w:color w:val="000000"/>
        </w:rPr>
      </w:pPr>
      <w:r>
        <w:rPr>
          <w:rFonts w:ascii="Arial" w:eastAsia="Arial" w:hAnsi="Arial" w:cs="Arial"/>
          <w:color w:val="000000"/>
          <w:sz w:val="22"/>
          <w:szCs w:val="22"/>
        </w:rPr>
        <w:t xml:space="preserve">JUSTIFICACIÓN DE LA INICIATIVA </w:t>
      </w:r>
    </w:p>
    <w:p w14:paraId="5C421EFC" w14:textId="77777777" w:rsidR="00F31DD1" w:rsidRDefault="00000000">
      <w:pPr>
        <w:widowControl w:val="0"/>
        <w:numPr>
          <w:ilvl w:val="0"/>
          <w:numId w:val="2"/>
        </w:numPr>
        <w:pBdr>
          <w:top w:val="nil"/>
          <w:left w:val="nil"/>
          <w:bottom w:val="nil"/>
          <w:right w:val="nil"/>
          <w:between w:val="nil"/>
        </w:pBdr>
        <w:spacing w:line="276" w:lineRule="auto"/>
        <w:ind w:right="427" w:hanging="360"/>
        <w:rPr>
          <w:rFonts w:ascii="Arial" w:eastAsia="Arial" w:hAnsi="Arial" w:cs="Arial"/>
          <w:color w:val="000000"/>
        </w:rPr>
      </w:pPr>
      <w:r>
        <w:rPr>
          <w:rFonts w:ascii="Arial" w:eastAsia="Arial" w:hAnsi="Arial" w:cs="Arial"/>
          <w:color w:val="000000"/>
          <w:sz w:val="22"/>
          <w:szCs w:val="22"/>
        </w:rPr>
        <w:t xml:space="preserve">SUSTENTO JURÍDICO DE LA INICIATIVA </w:t>
      </w:r>
    </w:p>
    <w:p w14:paraId="6FAB9AFC" w14:textId="77777777" w:rsidR="00F31DD1" w:rsidRDefault="00000000">
      <w:pPr>
        <w:widowControl w:val="0"/>
        <w:numPr>
          <w:ilvl w:val="0"/>
          <w:numId w:val="2"/>
        </w:numPr>
        <w:pBdr>
          <w:top w:val="nil"/>
          <w:left w:val="nil"/>
          <w:bottom w:val="nil"/>
          <w:right w:val="nil"/>
          <w:between w:val="nil"/>
        </w:pBdr>
        <w:spacing w:line="276" w:lineRule="auto"/>
        <w:ind w:right="427" w:hanging="360"/>
        <w:rPr>
          <w:rFonts w:ascii="Arial" w:eastAsia="Arial" w:hAnsi="Arial" w:cs="Arial"/>
          <w:color w:val="000000"/>
        </w:rPr>
      </w:pPr>
      <w:r>
        <w:rPr>
          <w:rFonts w:ascii="Arial" w:eastAsia="Arial" w:hAnsi="Arial" w:cs="Arial"/>
          <w:color w:val="000000"/>
          <w:sz w:val="22"/>
          <w:szCs w:val="22"/>
        </w:rPr>
        <w:t xml:space="preserve">COMPETENCIA DEL CONCEJO DE BOGOTÁ </w:t>
      </w:r>
    </w:p>
    <w:p w14:paraId="2565B5E7" w14:textId="77777777" w:rsidR="00F31DD1" w:rsidRDefault="00000000">
      <w:pPr>
        <w:widowControl w:val="0"/>
        <w:numPr>
          <w:ilvl w:val="0"/>
          <w:numId w:val="2"/>
        </w:numPr>
        <w:pBdr>
          <w:top w:val="nil"/>
          <w:left w:val="nil"/>
          <w:bottom w:val="nil"/>
          <w:right w:val="nil"/>
          <w:between w:val="nil"/>
        </w:pBdr>
        <w:spacing w:line="276" w:lineRule="auto"/>
        <w:ind w:right="427" w:hanging="360"/>
        <w:rPr>
          <w:rFonts w:ascii="Arial" w:eastAsia="Arial" w:hAnsi="Arial" w:cs="Arial"/>
          <w:color w:val="000000"/>
        </w:rPr>
      </w:pPr>
      <w:r>
        <w:rPr>
          <w:rFonts w:ascii="Arial" w:eastAsia="Arial" w:hAnsi="Arial" w:cs="Arial"/>
          <w:color w:val="000000"/>
          <w:sz w:val="22"/>
          <w:szCs w:val="22"/>
        </w:rPr>
        <w:t xml:space="preserve">CONCEPTO DE LA ADMINISTRACIÓN DISTRITAL </w:t>
      </w:r>
    </w:p>
    <w:p w14:paraId="4A00183D" w14:textId="77777777" w:rsidR="00F31DD1" w:rsidRDefault="00000000">
      <w:pPr>
        <w:widowControl w:val="0"/>
        <w:numPr>
          <w:ilvl w:val="0"/>
          <w:numId w:val="2"/>
        </w:numPr>
        <w:pBdr>
          <w:top w:val="nil"/>
          <w:left w:val="nil"/>
          <w:bottom w:val="nil"/>
          <w:right w:val="nil"/>
          <w:between w:val="nil"/>
        </w:pBdr>
        <w:spacing w:line="276" w:lineRule="auto"/>
        <w:ind w:right="427" w:hanging="360"/>
        <w:rPr>
          <w:rFonts w:ascii="Arial" w:eastAsia="Arial" w:hAnsi="Arial" w:cs="Arial"/>
          <w:color w:val="000000"/>
        </w:rPr>
      </w:pPr>
      <w:r>
        <w:rPr>
          <w:rFonts w:ascii="Arial" w:eastAsia="Arial" w:hAnsi="Arial" w:cs="Arial"/>
          <w:color w:val="000000"/>
          <w:sz w:val="22"/>
          <w:szCs w:val="22"/>
        </w:rPr>
        <w:t>CONSIDERACIONES DE LOS PONENTES</w:t>
      </w:r>
    </w:p>
    <w:p w14:paraId="00AEB448" w14:textId="77777777" w:rsidR="00F31DD1" w:rsidRDefault="00000000">
      <w:pPr>
        <w:widowControl w:val="0"/>
        <w:numPr>
          <w:ilvl w:val="0"/>
          <w:numId w:val="2"/>
        </w:numPr>
        <w:pBdr>
          <w:top w:val="nil"/>
          <w:left w:val="nil"/>
          <w:bottom w:val="nil"/>
          <w:right w:val="nil"/>
          <w:between w:val="nil"/>
        </w:pBdr>
        <w:spacing w:line="276" w:lineRule="auto"/>
        <w:ind w:right="427" w:hanging="360"/>
        <w:rPr>
          <w:rFonts w:ascii="Arial" w:eastAsia="Arial" w:hAnsi="Arial" w:cs="Arial"/>
          <w:color w:val="000000"/>
        </w:rPr>
      </w:pPr>
      <w:r>
        <w:rPr>
          <w:rFonts w:ascii="Arial" w:eastAsia="Arial" w:hAnsi="Arial" w:cs="Arial"/>
          <w:color w:val="000000"/>
          <w:sz w:val="22"/>
          <w:szCs w:val="22"/>
        </w:rPr>
        <w:t xml:space="preserve">IMPACTO FISCAL </w:t>
      </w:r>
    </w:p>
    <w:p w14:paraId="4946D2A5" w14:textId="77777777" w:rsidR="00F31DD1" w:rsidRDefault="00000000">
      <w:pPr>
        <w:widowControl w:val="0"/>
        <w:numPr>
          <w:ilvl w:val="0"/>
          <w:numId w:val="2"/>
        </w:numPr>
        <w:pBdr>
          <w:top w:val="nil"/>
          <w:left w:val="nil"/>
          <w:bottom w:val="nil"/>
          <w:right w:val="nil"/>
          <w:between w:val="nil"/>
        </w:pBdr>
        <w:spacing w:line="276" w:lineRule="auto"/>
        <w:ind w:right="427" w:hanging="360"/>
        <w:rPr>
          <w:rFonts w:ascii="Arial" w:eastAsia="Arial" w:hAnsi="Arial" w:cs="Arial"/>
          <w:color w:val="000000"/>
        </w:rPr>
      </w:pPr>
      <w:r>
        <w:rPr>
          <w:rFonts w:ascii="Arial" w:eastAsia="Arial" w:hAnsi="Arial" w:cs="Arial"/>
          <w:color w:val="000000"/>
          <w:sz w:val="22"/>
          <w:szCs w:val="22"/>
        </w:rPr>
        <w:t xml:space="preserve">PLIEGO DE MODIFICACIONES AL PROYECTO DE ACUERDO </w:t>
      </w:r>
    </w:p>
    <w:p w14:paraId="3D0BEF64" w14:textId="77777777" w:rsidR="00F31DD1" w:rsidRDefault="00000000">
      <w:pPr>
        <w:widowControl w:val="0"/>
        <w:numPr>
          <w:ilvl w:val="0"/>
          <w:numId w:val="2"/>
        </w:numPr>
        <w:pBdr>
          <w:top w:val="nil"/>
          <w:left w:val="nil"/>
          <w:bottom w:val="nil"/>
          <w:right w:val="nil"/>
          <w:between w:val="nil"/>
        </w:pBdr>
        <w:spacing w:line="276" w:lineRule="auto"/>
        <w:ind w:right="427" w:hanging="360"/>
        <w:rPr>
          <w:rFonts w:ascii="Arial" w:eastAsia="Arial" w:hAnsi="Arial" w:cs="Arial"/>
          <w:color w:val="000000"/>
        </w:rPr>
      </w:pPr>
      <w:r>
        <w:rPr>
          <w:rFonts w:ascii="Arial" w:eastAsia="Arial" w:hAnsi="Arial" w:cs="Arial"/>
          <w:color w:val="000000"/>
          <w:sz w:val="22"/>
          <w:szCs w:val="22"/>
        </w:rPr>
        <w:t>CONCLUSIÓN</w:t>
      </w:r>
    </w:p>
    <w:p w14:paraId="0DEBA067" w14:textId="77777777" w:rsidR="00F31DD1" w:rsidRDefault="00000000">
      <w:pPr>
        <w:widowControl w:val="0"/>
        <w:numPr>
          <w:ilvl w:val="0"/>
          <w:numId w:val="2"/>
        </w:numPr>
        <w:pBdr>
          <w:top w:val="nil"/>
          <w:left w:val="nil"/>
          <w:bottom w:val="nil"/>
          <w:right w:val="nil"/>
          <w:between w:val="nil"/>
        </w:pBdr>
        <w:spacing w:line="276" w:lineRule="auto"/>
        <w:ind w:right="427" w:hanging="360"/>
        <w:rPr>
          <w:rFonts w:ascii="Arial" w:eastAsia="Arial" w:hAnsi="Arial" w:cs="Arial"/>
          <w:color w:val="000000"/>
        </w:rPr>
      </w:pPr>
      <w:r>
        <w:rPr>
          <w:rFonts w:ascii="Arial" w:eastAsia="Arial" w:hAnsi="Arial" w:cs="Arial"/>
          <w:color w:val="000000"/>
          <w:sz w:val="22"/>
          <w:szCs w:val="22"/>
        </w:rPr>
        <w:t>ARTICULADO PROPUESTO</w:t>
      </w:r>
    </w:p>
    <w:p w14:paraId="2375576D" w14:textId="77777777" w:rsidR="00F31DD1" w:rsidRDefault="00000000">
      <w:pPr>
        <w:widowControl w:val="0"/>
        <w:numPr>
          <w:ilvl w:val="0"/>
          <w:numId w:val="2"/>
        </w:numPr>
        <w:pBdr>
          <w:top w:val="nil"/>
          <w:left w:val="nil"/>
          <w:bottom w:val="nil"/>
          <w:right w:val="nil"/>
          <w:between w:val="nil"/>
        </w:pBdr>
        <w:spacing w:line="276" w:lineRule="auto"/>
        <w:ind w:right="427" w:hanging="360"/>
        <w:rPr>
          <w:rFonts w:ascii="Arial" w:eastAsia="Arial" w:hAnsi="Arial" w:cs="Arial"/>
        </w:rPr>
      </w:pPr>
      <w:r>
        <w:rPr>
          <w:rFonts w:ascii="Arial" w:eastAsia="Arial" w:hAnsi="Arial" w:cs="Arial"/>
          <w:sz w:val="22"/>
          <w:szCs w:val="22"/>
        </w:rPr>
        <w:t>BIBLIOGRAFÍA</w:t>
      </w:r>
    </w:p>
    <w:p w14:paraId="67A7B96D" w14:textId="77777777" w:rsidR="00F31DD1" w:rsidRDefault="00F31DD1">
      <w:pPr>
        <w:widowControl w:val="0"/>
        <w:spacing w:line="276" w:lineRule="auto"/>
        <w:ind w:left="446" w:right="427" w:hanging="12"/>
        <w:jc w:val="center"/>
        <w:rPr>
          <w:rFonts w:ascii="Arial" w:eastAsia="Arial" w:hAnsi="Arial" w:cs="Arial"/>
          <w:sz w:val="22"/>
          <w:szCs w:val="22"/>
        </w:rPr>
      </w:pPr>
    </w:p>
    <w:p w14:paraId="288179B8" w14:textId="77777777" w:rsidR="00F31DD1" w:rsidRDefault="00F31DD1">
      <w:pPr>
        <w:rPr>
          <w:rFonts w:ascii="Arial" w:eastAsia="Arial" w:hAnsi="Arial" w:cs="Arial"/>
          <w:sz w:val="22"/>
          <w:szCs w:val="22"/>
        </w:rPr>
      </w:pPr>
    </w:p>
    <w:p w14:paraId="0A2749A2" w14:textId="77777777" w:rsidR="00F31DD1" w:rsidRDefault="00000000">
      <w:pPr>
        <w:numPr>
          <w:ilvl w:val="0"/>
          <w:numId w:val="1"/>
        </w:numPr>
        <w:jc w:val="both"/>
        <w:rPr>
          <w:rFonts w:ascii="Arial" w:eastAsia="Arial" w:hAnsi="Arial" w:cs="Arial"/>
          <w:b/>
          <w:sz w:val="22"/>
          <w:szCs w:val="22"/>
        </w:rPr>
      </w:pPr>
      <w:r>
        <w:rPr>
          <w:rFonts w:ascii="Arial" w:eastAsia="Arial" w:hAnsi="Arial" w:cs="Arial"/>
          <w:b/>
          <w:sz w:val="22"/>
          <w:szCs w:val="22"/>
        </w:rPr>
        <w:t>OBJETO DEL PROYECTO DE ACUERDO</w:t>
      </w:r>
    </w:p>
    <w:p w14:paraId="204091C3" w14:textId="77777777" w:rsidR="00F31DD1" w:rsidRDefault="00F31DD1">
      <w:pPr>
        <w:jc w:val="both"/>
        <w:rPr>
          <w:rFonts w:ascii="Arial" w:eastAsia="Arial" w:hAnsi="Arial" w:cs="Arial"/>
          <w:b/>
          <w:sz w:val="22"/>
          <w:szCs w:val="22"/>
        </w:rPr>
      </w:pPr>
    </w:p>
    <w:p w14:paraId="6824AB5F" w14:textId="77777777" w:rsidR="00F31DD1" w:rsidRDefault="00000000">
      <w:pPr>
        <w:spacing w:before="240" w:after="240" w:line="276" w:lineRule="auto"/>
        <w:jc w:val="both"/>
        <w:rPr>
          <w:rFonts w:ascii="Arial" w:eastAsia="Arial" w:hAnsi="Arial" w:cs="Arial"/>
          <w:sz w:val="22"/>
          <w:szCs w:val="22"/>
        </w:rPr>
      </w:pPr>
      <w:r>
        <w:rPr>
          <w:rFonts w:ascii="Arial" w:eastAsia="Arial" w:hAnsi="Arial" w:cs="Arial"/>
          <w:sz w:val="22"/>
          <w:szCs w:val="22"/>
        </w:rPr>
        <w:t xml:space="preserve">Como se define en el artículo primero del proyecto de Acuerdo 764 de 2025 su objeto es: establecer medidas encaminadas a la </w:t>
      </w:r>
      <w:proofErr w:type="spellStart"/>
      <w:r>
        <w:rPr>
          <w:rFonts w:ascii="Arial" w:eastAsia="Arial" w:hAnsi="Arial" w:cs="Arial"/>
          <w:sz w:val="22"/>
          <w:szCs w:val="22"/>
        </w:rPr>
        <w:t>visibilización</w:t>
      </w:r>
      <w:proofErr w:type="spellEnd"/>
      <w:r>
        <w:rPr>
          <w:rFonts w:ascii="Arial" w:eastAsia="Arial" w:hAnsi="Arial" w:cs="Arial"/>
          <w:sz w:val="22"/>
          <w:szCs w:val="22"/>
        </w:rPr>
        <w:t xml:space="preserve">, prevención y atención de una forma de violencia de género, conocida como violencia vicaria, que afecta mayoritariamente a las mujeres y a sus hijos e hijas, que son utilizados para controlar, castigar y someter a las víctimas. Estas medidas van desde la sensibilización ciudadana, la capacitación institucional y el fortalecimiento de los mecanismos de atención, con la inclusión del enfoque de género y de derechos humanos. </w:t>
      </w:r>
    </w:p>
    <w:p w14:paraId="61CF4AEE" w14:textId="77777777" w:rsidR="00F31DD1" w:rsidRDefault="00F31DD1">
      <w:pPr>
        <w:jc w:val="both"/>
        <w:rPr>
          <w:rFonts w:ascii="Arial" w:eastAsia="Arial" w:hAnsi="Arial" w:cs="Arial"/>
          <w:b/>
          <w:sz w:val="22"/>
          <w:szCs w:val="22"/>
        </w:rPr>
      </w:pPr>
    </w:p>
    <w:p w14:paraId="687A6A1F" w14:textId="77777777" w:rsidR="00F31DD1" w:rsidRDefault="00F31DD1">
      <w:pPr>
        <w:jc w:val="both"/>
        <w:rPr>
          <w:rFonts w:ascii="Arial" w:eastAsia="Arial" w:hAnsi="Arial" w:cs="Arial"/>
          <w:sz w:val="22"/>
          <w:szCs w:val="22"/>
          <w:u w:val="single"/>
        </w:rPr>
      </w:pPr>
    </w:p>
    <w:p w14:paraId="3B46030D" w14:textId="77777777" w:rsidR="00F31DD1" w:rsidRDefault="00F31DD1">
      <w:pPr>
        <w:jc w:val="both"/>
        <w:rPr>
          <w:rFonts w:ascii="Arial" w:eastAsia="Arial" w:hAnsi="Arial" w:cs="Arial"/>
          <w:sz w:val="22"/>
          <w:szCs w:val="22"/>
        </w:rPr>
      </w:pPr>
    </w:p>
    <w:p w14:paraId="07EFD0C2" w14:textId="77777777" w:rsidR="00F31DD1" w:rsidRDefault="00000000">
      <w:pPr>
        <w:numPr>
          <w:ilvl w:val="0"/>
          <w:numId w:val="1"/>
        </w:numPr>
        <w:jc w:val="both"/>
        <w:rPr>
          <w:rFonts w:ascii="Arial" w:eastAsia="Arial" w:hAnsi="Arial" w:cs="Arial"/>
          <w:b/>
          <w:sz w:val="22"/>
          <w:szCs w:val="22"/>
        </w:rPr>
      </w:pPr>
      <w:r>
        <w:rPr>
          <w:rFonts w:ascii="Arial" w:eastAsia="Arial" w:hAnsi="Arial" w:cs="Arial"/>
          <w:b/>
          <w:sz w:val="22"/>
          <w:szCs w:val="22"/>
        </w:rPr>
        <w:lastRenderedPageBreak/>
        <w:t xml:space="preserve">ANTECEDENTES DEL PROYECTO DE ACUERDO </w:t>
      </w:r>
    </w:p>
    <w:p w14:paraId="16285D73" w14:textId="77777777" w:rsidR="00F31DD1" w:rsidRDefault="00000000">
      <w:pPr>
        <w:spacing w:before="240" w:after="240"/>
        <w:jc w:val="both"/>
        <w:rPr>
          <w:rFonts w:ascii="Arial" w:eastAsia="Arial" w:hAnsi="Arial" w:cs="Arial"/>
          <w:sz w:val="22"/>
          <w:szCs w:val="22"/>
        </w:rPr>
      </w:pPr>
      <w:r>
        <w:rPr>
          <w:rFonts w:ascii="Arial" w:eastAsia="Arial" w:hAnsi="Arial" w:cs="Arial"/>
          <w:sz w:val="22"/>
          <w:szCs w:val="22"/>
        </w:rPr>
        <w:t>Al consultar las bases de datos del Concejo de Bogotá, se evidencia que esta iniciativa es presentada por primera vez a la Corporación, sin embargo como ponentes encontramos que el proyecto de acuerdo registra los siguientes antecedentes de proyectos similares según los informes anuales en la intranet del Concejo de Bogotá; proyectos que enmarcan la violencia intrafamiliar, violencia de género y sexual en Bogotá.</w:t>
      </w:r>
    </w:p>
    <w:sdt>
      <w:sdtPr>
        <w:tag w:val="goog_rdk_1"/>
        <w:id w:val="1454053202"/>
        <w:lock w:val="contentLocked"/>
      </w:sdtPr>
      <w:sdtContent>
        <w:tbl>
          <w:tblPr>
            <w:tblStyle w:val="a9"/>
            <w:tblW w:w="8835" w:type="dxa"/>
            <w:tblInd w:w="0" w:type="dxa"/>
            <w:tblBorders>
              <w:top w:val="single" w:sz="4" w:space="0" w:color="666666"/>
              <w:left w:val="single" w:sz="4" w:space="0" w:color="000000"/>
              <w:bottom w:val="single" w:sz="4" w:space="0" w:color="666666"/>
              <w:right w:val="single" w:sz="4" w:space="0" w:color="000000"/>
              <w:insideH w:val="single" w:sz="4" w:space="0" w:color="666666"/>
              <w:insideV w:val="single" w:sz="4" w:space="0" w:color="666666"/>
            </w:tblBorders>
            <w:tblLayout w:type="fixed"/>
            <w:tblLook w:val="0400" w:firstRow="0" w:lastRow="0" w:firstColumn="0" w:lastColumn="0" w:noHBand="0" w:noVBand="1"/>
          </w:tblPr>
          <w:tblGrid>
            <w:gridCol w:w="1770"/>
            <w:gridCol w:w="3390"/>
            <w:gridCol w:w="3675"/>
          </w:tblGrid>
          <w:tr w:rsidR="00F31DD1" w14:paraId="212BC7CD" w14:textId="77777777">
            <w:tc>
              <w:tcPr>
                <w:tcW w:w="1770" w:type="dxa"/>
                <w:tcBorders>
                  <w:top w:val="single" w:sz="4" w:space="0" w:color="000000"/>
                  <w:left w:val="single" w:sz="4" w:space="0" w:color="000000"/>
                  <w:bottom w:val="single" w:sz="4" w:space="0" w:color="000000"/>
                  <w:right w:val="single" w:sz="4" w:space="0" w:color="000000"/>
                </w:tcBorders>
              </w:tcPr>
              <w:p w14:paraId="2595B662" w14:textId="77777777" w:rsidR="00F31DD1" w:rsidRDefault="00000000">
                <w:pPr>
                  <w:jc w:val="center"/>
                  <w:rPr>
                    <w:rFonts w:ascii="Arial" w:eastAsia="Arial" w:hAnsi="Arial" w:cs="Arial"/>
                    <w:b/>
                    <w:sz w:val="22"/>
                    <w:szCs w:val="22"/>
                  </w:rPr>
                </w:pPr>
                <w:r>
                  <w:rPr>
                    <w:rFonts w:ascii="Arial" w:eastAsia="Arial" w:hAnsi="Arial" w:cs="Arial"/>
                    <w:b/>
                    <w:sz w:val="22"/>
                    <w:szCs w:val="22"/>
                  </w:rPr>
                  <w:t>Acuerdo o Proyecto de Acuerdo</w:t>
                </w:r>
              </w:p>
            </w:tc>
            <w:tc>
              <w:tcPr>
                <w:tcW w:w="3390" w:type="dxa"/>
                <w:tcBorders>
                  <w:top w:val="single" w:sz="4" w:space="0" w:color="000000"/>
                  <w:left w:val="single" w:sz="4" w:space="0" w:color="000000"/>
                  <w:bottom w:val="single" w:sz="4" w:space="0" w:color="000000"/>
                  <w:right w:val="single" w:sz="4" w:space="0" w:color="000000"/>
                </w:tcBorders>
              </w:tcPr>
              <w:p w14:paraId="7B828A84" w14:textId="77777777" w:rsidR="00F31DD1" w:rsidRDefault="00000000">
                <w:pPr>
                  <w:jc w:val="center"/>
                  <w:rPr>
                    <w:rFonts w:ascii="Arial" w:eastAsia="Arial" w:hAnsi="Arial" w:cs="Arial"/>
                    <w:b/>
                    <w:sz w:val="22"/>
                    <w:szCs w:val="22"/>
                  </w:rPr>
                </w:pPr>
                <w:r>
                  <w:rPr>
                    <w:rFonts w:ascii="Arial" w:eastAsia="Arial" w:hAnsi="Arial" w:cs="Arial"/>
                    <w:b/>
                    <w:sz w:val="22"/>
                    <w:szCs w:val="22"/>
                  </w:rPr>
                  <w:t>Título</w:t>
                </w:r>
              </w:p>
            </w:tc>
            <w:tc>
              <w:tcPr>
                <w:tcW w:w="3675" w:type="dxa"/>
                <w:tcBorders>
                  <w:top w:val="single" w:sz="4" w:space="0" w:color="000000"/>
                  <w:left w:val="single" w:sz="4" w:space="0" w:color="000000"/>
                  <w:bottom w:val="single" w:sz="4" w:space="0" w:color="000000"/>
                  <w:right w:val="single" w:sz="4" w:space="0" w:color="000000"/>
                </w:tcBorders>
              </w:tcPr>
              <w:p w14:paraId="5A08DDA4" w14:textId="77777777" w:rsidR="00F31DD1" w:rsidRDefault="00000000">
                <w:pPr>
                  <w:jc w:val="center"/>
                  <w:rPr>
                    <w:rFonts w:ascii="Arial" w:eastAsia="Arial" w:hAnsi="Arial" w:cs="Arial"/>
                    <w:b/>
                    <w:sz w:val="22"/>
                    <w:szCs w:val="22"/>
                  </w:rPr>
                </w:pPr>
                <w:r>
                  <w:rPr>
                    <w:rFonts w:ascii="Arial" w:eastAsia="Arial" w:hAnsi="Arial" w:cs="Arial"/>
                    <w:b/>
                    <w:sz w:val="22"/>
                    <w:szCs w:val="22"/>
                  </w:rPr>
                  <w:t>Enlace o trámite</w:t>
                </w:r>
              </w:p>
            </w:tc>
          </w:tr>
          <w:tr w:rsidR="00F31DD1" w14:paraId="580C76A9" w14:textId="77777777">
            <w:tc>
              <w:tcPr>
                <w:tcW w:w="1770" w:type="dxa"/>
                <w:tcBorders>
                  <w:top w:val="single" w:sz="4" w:space="0" w:color="000000"/>
                  <w:left w:val="single" w:sz="4" w:space="0" w:color="000000"/>
                  <w:bottom w:val="single" w:sz="4" w:space="0" w:color="000000"/>
                  <w:right w:val="single" w:sz="4" w:space="0" w:color="000000"/>
                </w:tcBorders>
              </w:tcPr>
              <w:p w14:paraId="279CDA8B" w14:textId="77777777" w:rsidR="00F31DD1" w:rsidRDefault="00000000">
                <w:pPr>
                  <w:rPr>
                    <w:rFonts w:ascii="Arial" w:eastAsia="Arial" w:hAnsi="Arial" w:cs="Arial"/>
                    <w:sz w:val="22"/>
                    <w:szCs w:val="22"/>
                  </w:rPr>
                </w:pPr>
                <w:r>
                  <w:rPr>
                    <w:rFonts w:ascii="Arial" w:eastAsia="Arial" w:hAnsi="Arial" w:cs="Arial"/>
                    <w:sz w:val="22"/>
                    <w:szCs w:val="22"/>
                  </w:rPr>
                  <w:t>Acuerdo 152 de 2005</w:t>
                </w:r>
              </w:p>
            </w:tc>
            <w:tc>
              <w:tcPr>
                <w:tcW w:w="3390" w:type="dxa"/>
                <w:tcBorders>
                  <w:top w:val="single" w:sz="4" w:space="0" w:color="000000"/>
                  <w:left w:val="single" w:sz="4" w:space="0" w:color="000000"/>
                  <w:bottom w:val="single" w:sz="4" w:space="0" w:color="000000"/>
                  <w:right w:val="single" w:sz="4" w:space="0" w:color="000000"/>
                </w:tcBorders>
              </w:tcPr>
              <w:p w14:paraId="4778BC85" w14:textId="77777777" w:rsidR="00F31DD1" w:rsidRDefault="00000000">
                <w:pPr>
                  <w:jc w:val="both"/>
                  <w:rPr>
                    <w:rFonts w:ascii="Arial" w:eastAsia="Arial" w:hAnsi="Arial" w:cs="Arial"/>
                    <w:sz w:val="22"/>
                    <w:szCs w:val="22"/>
                  </w:rPr>
                </w:pPr>
                <w:r>
                  <w:rPr>
                    <w:rFonts w:ascii="Arial" w:eastAsia="Arial" w:hAnsi="Arial" w:cs="Arial"/>
                    <w:sz w:val="22"/>
                    <w:szCs w:val="22"/>
                  </w:rPr>
                  <w:t>Por el cual se modifica el Acuerdo 12 de 1998 y se adoptan medidas para la atención integral a víctimas de violencia intrafamiliar y violencia y explotación sexual</w:t>
                </w:r>
              </w:p>
            </w:tc>
            <w:tc>
              <w:tcPr>
                <w:tcW w:w="3675" w:type="dxa"/>
                <w:tcBorders>
                  <w:top w:val="single" w:sz="4" w:space="0" w:color="000000"/>
                  <w:left w:val="single" w:sz="4" w:space="0" w:color="000000"/>
                  <w:bottom w:val="single" w:sz="4" w:space="0" w:color="000000"/>
                  <w:right w:val="single" w:sz="4" w:space="0" w:color="000000"/>
                </w:tcBorders>
              </w:tcPr>
              <w:p w14:paraId="7DE512BA" w14:textId="77777777" w:rsidR="00F31DD1" w:rsidRDefault="00F31DD1">
                <w:pPr>
                  <w:jc w:val="both"/>
                  <w:rPr>
                    <w:rFonts w:ascii="Arial" w:eastAsia="Arial" w:hAnsi="Arial" w:cs="Arial"/>
                    <w:sz w:val="22"/>
                    <w:szCs w:val="22"/>
                  </w:rPr>
                </w:pPr>
                <w:hyperlink r:id="rId8">
                  <w:r>
                    <w:rPr>
                      <w:rFonts w:ascii="Arial" w:eastAsia="Arial" w:hAnsi="Arial" w:cs="Arial"/>
                      <w:color w:val="1155CC"/>
                      <w:sz w:val="22"/>
                      <w:szCs w:val="22"/>
                      <w:u w:val="single"/>
                    </w:rPr>
                    <w:t>https://www.alcaldiabogota.gov.co/sisjur/normas/Norma1.jsp?i=16212</w:t>
                  </w:r>
                </w:hyperlink>
                <w:r w:rsidR="00000000">
                  <w:rPr>
                    <w:rFonts w:ascii="Arial" w:eastAsia="Arial" w:hAnsi="Arial" w:cs="Arial"/>
                    <w:sz w:val="22"/>
                    <w:szCs w:val="22"/>
                  </w:rPr>
                  <w:t xml:space="preserve"> </w:t>
                </w:r>
              </w:p>
            </w:tc>
          </w:tr>
          <w:tr w:rsidR="00F31DD1" w14:paraId="1B3AB2C2" w14:textId="77777777">
            <w:tc>
              <w:tcPr>
                <w:tcW w:w="1770" w:type="dxa"/>
                <w:tcBorders>
                  <w:top w:val="single" w:sz="4" w:space="0" w:color="000000"/>
                  <w:left w:val="single" w:sz="4" w:space="0" w:color="000000"/>
                  <w:bottom w:val="single" w:sz="4" w:space="0" w:color="000000"/>
                  <w:right w:val="single" w:sz="4" w:space="0" w:color="000000"/>
                </w:tcBorders>
              </w:tcPr>
              <w:p w14:paraId="71310C6E" w14:textId="77777777" w:rsidR="00F31DD1" w:rsidRDefault="00000000">
                <w:pPr>
                  <w:rPr>
                    <w:rFonts w:ascii="Arial" w:eastAsia="Arial" w:hAnsi="Arial" w:cs="Arial"/>
                    <w:sz w:val="22"/>
                    <w:szCs w:val="22"/>
                  </w:rPr>
                </w:pPr>
                <w:r>
                  <w:rPr>
                    <w:rFonts w:ascii="Arial" w:eastAsia="Arial" w:hAnsi="Arial" w:cs="Arial"/>
                    <w:sz w:val="22"/>
                    <w:szCs w:val="22"/>
                  </w:rPr>
                  <w:t>Acuerdo 421 de 2009</w:t>
                </w:r>
              </w:p>
              <w:p w14:paraId="01B6CC67" w14:textId="77777777" w:rsidR="00F31DD1" w:rsidRDefault="00F31DD1">
                <w:pPr>
                  <w:jc w:val="center"/>
                  <w:rPr>
                    <w:rFonts w:ascii="Arial" w:eastAsia="Arial" w:hAnsi="Arial" w:cs="Arial"/>
                    <w:sz w:val="22"/>
                    <w:szCs w:val="22"/>
                  </w:rPr>
                </w:pPr>
              </w:p>
            </w:tc>
            <w:tc>
              <w:tcPr>
                <w:tcW w:w="3390" w:type="dxa"/>
                <w:tcBorders>
                  <w:top w:val="single" w:sz="4" w:space="0" w:color="000000"/>
                  <w:left w:val="single" w:sz="4" w:space="0" w:color="000000"/>
                  <w:bottom w:val="single" w:sz="4" w:space="0" w:color="000000"/>
                  <w:right w:val="single" w:sz="4" w:space="0" w:color="000000"/>
                </w:tcBorders>
              </w:tcPr>
              <w:p w14:paraId="5CCC4962" w14:textId="77777777" w:rsidR="00F31DD1" w:rsidRDefault="00000000">
                <w:pPr>
                  <w:jc w:val="both"/>
                  <w:rPr>
                    <w:rFonts w:ascii="Arial" w:eastAsia="Arial" w:hAnsi="Arial" w:cs="Arial"/>
                    <w:sz w:val="22"/>
                    <w:szCs w:val="22"/>
                  </w:rPr>
                </w:pPr>
                <w:r>
                  <w:rPr>
                    <w:rFonts w:ascii="Arial" w:eastAsia="Arial" w:hAnsi="Arial" w:cs="Arial"/>
                    <w:sz w:val="22"/>
                    <w:szCs w:val="22"/>
                  </w:rPr>
                  <w:t>Por el cual se ordena la creación del Sistema Distrital de Protección Integral a las mujeres víctimas de violencia y se dictan otras disposiciones</w:t>
                </w:r>
              </w:p>
            </w:tc>
            <w:tc>
              <w:tcPr>
                <w:tcW w:w="3675" w:type="dxa"/>
                <w:tcBorders>
                  <w:top w:val="single" w:sz="4" w:space="0" w:color="000000"/>
                  <w:left w:val="single" w:sz="4" w:space="0" w:color="000000"/>
                  <w:bottom w:val="single" w:sz="4" w:space="0" w:color="000000"/>
                  <w:right w:val="single" w:sz="4" w:space="0" w:color="000000"/>
                </w:tcBorders>
              </w:tcPr>
              <w:p w14:paraId="242816C3" w14:textId="77777777" w:rsidR="00F31DD1" w:rsidRDefault="00F31DD1">
                <w:pPr>
                  <w:jc w:val="both"/>
                  <w:rPr>
                    <w:rFonts w:ascii="Arial" w:eastAsia="Arial" w:hAnsi="Arial" w:cs="Arial"/>
                    <w:sz w:val="22"/>
                    <w:szCs w:val="22"/>
                  </w:rPr>
                </w:pPr>
                <w:hyperlink r:id="rId9">
                  <w:r>
                    <w:rPr>
                      <w:rFonts w:ascii="Arial" w:eastAsia="Arial" w:hAnsi="Arial" w:cs="Arial"/>
                      <w:color w:val="1155CC"/>
                      <w:sz w:val="22"/>
                      <w:szCs w:val="22"/>
                      <w:u w:val="single"/>
                    </w:rPr>
                    <w:t>https://www.alcaldiabogota.gov.co/sisjur/normas/Norma1.jsp?i=38265</w:t>
                  </w:r>
                </w:hyperlink>
                <w:r w:rsidR="00000000">
                  <w:rPr>
                    <w:rFonts w:ascii="Arial" w:eastAsia="Arial" w:hAnsi="Arial" w:cs="Arial"/>
                    <w:sz w:val="22"/>
                    <w:szCs w:val="22"/>
                  </w:rPr>
                  <w:t xml:space="preserve"> </w:t>
                </w:r>
              </w:p>
              <w:p w14:paraId="30FDFF5F" w14:textId="77777777" w:rsidR="00F31DD1" w:rsidRDefault="00F31DD1">
                <w:pPr>
                  <w:jc w:val="both"/>
                  <w:rPr>
                    <w:rFonts w:ascii="Arial" w:eastAsia="Arial" w:hAnsi="Arial" w:cs="Arial"/>
                    <w:sz w:val="22"/>
                    <w:szCs w:val="22"/>
                  </w:rPr>
                </w:pPr>
              </w:p>
            </w:tc>
          </w:tr>
          <w:tr w:rsidR="00F31DD1" w14:paraId="7CCECEB3" w14:textId="77777777">
            <w:tc>
              <w:tcPr>
                <w:tcW w:w="1770" w:type="dxa"/>
                <w:tcBorders>
                  <w:top w:val="single" w:sz="4" w:space="0" w:color="000000"/>
                  <w:left w:val="single" w:sz="4" w:space="0" w:color="000000"/>
                  <w:bottom w:val="single" w:sz="4" w:space="0" w:color="000000"/>
                  <w:right w:val="single" w:sz="4" w:space="0" w:color="000000"/>
                </w:tcBorders>
              </w:tcPr>
              <w:p w14:paraId="35E88EC0" w14:textId="77777777" w:rsidR="00F31DD1" w:rsidRDefault="00000000">
                <w:pPr>
                  <w:rPr>
                    <w:rFonts w:ascii="Arial" w:eastAsia="Arial" w:hAnsi="Arial" w:cs="Arial"/>
                    <w:sz w:val="22"/>
                    <w:szCs w:val="22"/>
                  </w:rPr>
                </w:pPr>
                <w:r>
                  <w:rPr>
                    <w:rFonts w:ascii="Arial" w:eastAsia="Arial" w:hAnsi="Arial" w:cs="Arial"/>
                    <w:sz w:val="22"/>
                    <w:szCs w:val="22"/>
                  </w:rPr>
                  <w:t>Acuerdo 406 de 2009</w:t>
                </w:r>
              </w:p>
            </w:tc>
            <w:tc>
              <w:tcPr>
                <w:tcW w:w="3390" w:type="dxa"/>
                <w:tcBorders>
                  <w:top w:val="single" w:sz="4" w:space="0" w:color="000000"/>
                  <w:left w:val="single" w:sz="4" w:space="0" w:color="000000"/>
                  <w:bottom w:val="single" w:sz="4" w:space="0" w:color="000000"/>
                  <w:right w:val="single" w:sz="4" w:space="0" w:color="000000"/>
                </w:tcBorders>
              </w:tcPr>
              <w:p w14:paraId="35B92029" w14:textId="77777777" w:rsidR="00F31DD1" w:rsidRDefault="00000000">
                <w:pPr>
                  <w:jc w:val="both"/>
                  <w:rPr>
                    <w:rFonts w:ascii="Arial" w:eastAsia="Arial" w:hAnsi="Arial" w:cs="Arial"/>
                    <w:sz w:val="22"/>
                    <w:szCs w:val="22"/>
                  </w:rPr>
                </w:pPr>
                <w:r>
                  <w:rPr>
                    <w:rFonts w:ascii="Arial" w:eastAsia="Arial" w:hAnsi="Arial" w:cs="Arial"/>
                    <w:sz w:val="22"/>
                    <w:szCs w:val="22"/>
                  </w:rPr>
                  <w:t>Por medio del cual se fortalece la atención terapéutica como un componente de salud mental para los casos de violencia intrafamiliar y sexual en Bogotá, D.C.</w:t>
                </w:r>
              </w:p>
            </w:tc>
            <w:tc>
              <w:tcPr>
                <w:tcW w:w="3675" w:type="dxa"/>
                <w:tcBorders>
                  <w:top w:val="single" w:sz="4" w:space="0" w:color="000000"/>
                  <w:left w:val="single" w:sz="4" w:space="0" w:color="000000"/>
                  <w:bottom w:val="single" w:sz="4" w:space="0" w:color="000000"/>
                  <w:right w:val="single" w:sz="4" w:space="0" w:color="000000"/>
                </w:tcBorders>
              </w:tcPr>
              <w:p w14:paraId="1A139884" w14:textId="77777777" w:rsidR="00F31DD1" w:rsidRDefault="00F31DD1">
                <w:pPr>
                  <w:jc w:val="both"/>
                  <w:rPr>
                    <w:rFonts w:ascii="Arial" w:eastAsia="Arial" w:hAnsi="Arial" w:cs="Arial"/>
                    <w:sz w:val="22"/>
                    <w:szCs w:val="22"/>
                  </w:rPr>
                </w:pPr>
                <w:hyperlink r:id="rId10">
                  <w:r>
                    <w:rPr>
                      <w:rFonts w:ascii="Arial" w:eastAsia="Arial" w:hAnsi="Arial" w:cs="Arial"/>
                      <w:color w:val="1155CC"/>
                      <w:sz w:val="22"/>
                      <w:szCs w:val="22"/>
                      <w:u w:val="single"/>
                    </w:rPr>
                    <w:t>https://www.alcaldiabogota.gov.co/sisjur/normas/Norma1.jsp?i=38066</w:t>
                  </w:r>
                </w:hyperlink>
                <w:r w:rsidR="00000000">
                  <w:rPr>
                    <w:rFonts w:ascii="Arial" w:eastAsia="Arial" w:hAnsi="Arial" w:cs="Arial"/>
                    <w:sz w:val="22"/>
                    <w:szCs w:val="22"/>
                  </w:rPr>
                  <w:t xml:space="preserve"> </w:t>
                </w:r>
              </w:p>
            </w:tc>
          </w:tr>
          <w:tr w:rsidR="00F31DD1" w14:paraId="6D451B99" w14:textId="77777777">
            <w:tc>
              <w:tcPr>
                <w:tcW w:w="1770" w:type="dxa"/>
                <w:tcBorders>
                  <w:top w:val="single" w:sz="4" w:space="0" w:color="000000"/>
                  <w:left w:val="single" w:sz="4" w:space="0" w:color="000000"/>
                  <w:bottom w:val="single" w:sz="4" w:space="0" w:color="000000"/>
                  <w:right w:val="single" w:sz="4" w:space="0" w:color="000000"/>
                </w:tcBorders>
              </w:tcPr>
              <w:p w14:paraId="24DCA58F" w14:textId="77777777" w:rsidR="00F31DD1" w:rsidRDefault="00000000">
                <w:pPr>
                  <w:rPr>
                    <w:rFonts w:ascii="Arial" w:eastAsia="Arial" w:hAnsi="Arial" w:cs="Arial"/>
                    <w:sz w:val="22"/>
                    <w:szCs w:val="22"/>
                  </w:rPr>
                </w:pPr>
                <w:r>
                  <w:rPr>
                    <w:rFonts w:ascii="Arial" w:eastAsia="Arial" w:hAnsi="Arial" w:cs="Arial"/>
                    <w:sz w:val="22"/>
                    <w:szCs w:val="22"/>
                  </w:rPr>
                  <w:t>Acuerdo 490 de 2012</w:t>
                </w:r>
              </w:p>
            </w:tc>
            <w:tc>
              <w:tcPr>
                <w:tcW w:w="3390" w:type="dxa"/>
                <w:tcBorders>
                  <w:top w:val="single" w:sz="4" w:space="0" w:color="000000"/>
                  <w:left w:val="single" w:sz="4" w:space="0" w:color="000000"/>
                  <w:bottom w:val="single" w:sz="4" w:space="0" w:color="000000"/>
                  <w:right w:val="single" w:sz="4" w:space="0" w:color="000000"/>
                </w:tcBorders>
              </w:tcPr>
              <w:p w14:paraId="3FC83498" w14:textId="77777777" w:rsidR="00F31DD1" w:rsidRDefault="00000000">
                <w:pPr>
                  <w:jc w:val="both"/>
                  <w:rPr>
                    <w:rFonts w:ascii="Arial" w:eastAsia="Arial" w:hAnsi="Arial" w:cs="Arial"/>
                    <w:sz w:val="22"/>
                    <w:szCs w:val="22"/>
                  </w:rPr>
                </w:pPr>
                <w:r>
                  <w:rPr>
                    <w:rFonts w:ascii="Arial" w:eastAsia="Arial" w:hAnsi="Arial" w:cs="Arial"/>
                    <w:sz w:val="22"/>
                    <w:szCs w:val="22"/>
                  </w:rPr>
                  <w:t>Por el cual se crean el Sector Administrativo Mujeres y la Secretaría Distrital de la Mujer y se expiden otras disposiciones</w:t>
                </w:r>
              </w:p>
            </w:tc>
            <w:tc>
              <w:tcPr>
                <w:tcW w:w="3675" w:type="dxa"/>
                <w:tcBorders>
                  <w:top w:val="single" w:sz="4" w:space="0" w:color="000000"/>
                  <w:left w:val="single" w:sz="4" w:space="0" w:color="000000"/>
                  <w:bottom w:val="single" w:sz="4" w:space="0" w:color="000000"/>
                  <w:right w:val="single" w:sz="4" w:space="0" w:color="000000"/>
                </w:tcBorders>
              </w:tcPr>
              <w:p w14:paraId="7E96764B" w14:textId="77777777" w:rsidR="00F31DD1" w:rsidRDefault="00F31DD1">
                <w:pPr>
                  <w:jc w:val="both"/>
                  <w:rPr>
                    <w:rFonts w:ascii="Arial" w:eastAsia="Arial" w:hAnsi="Arial" w:cs="Arial"/>
                    <w:sz w:val="22"/>
                    <w:szCs w:val="22"/>
                  </w:rPr>
                </w:pPr>
                <w:hyperlink r:id="rId11">
                  <w:r>
                    <w:rPr>
                      <w:rFonts w:ascii="Arial" w:eastAsia="Arial" w:hAnsi="Arial" w:cs="Arial"/>
                      <w:color w:val="1155CC"/>
                      <w:sz w:val="22"/>
                      <w:szCs w:val="22"/>
                      <w:u w:val="single"/>
                    </w:rPr>
                    <w:t>https://www.alcaldiabogota.gov.co/sisjur/normas/Norma1.jsp?i=48201</w:t>
                  </w:r>
                </w:hyperlink>
                <w:r w:rsidR="00000000">
                  <w:rPr>
                    <w:rFonts w:ascii="Arial" w:eastAsia="Arial" w:hAnsi="Arial" w:cs="Arial"/>
                    <w:sz w:val="22"/>
                    <w:szCs w:val="22"/>
                  </w:rPr>
                  <w:t xml:space="preserve"> </w:t>
                </w:r>
              </w:p>
            </w:tc>
          </w:tr>
          <w:tr w:rsidR="00F31DD1" w14:paraId="127F656B" w14:textId="77777777">
            <w:tc>
              <w:tcPr>
                <w:tcW w:w="1770" w:type="dxa"/>
                <w:tcBorders>
                  <w:top w:val="single" w:sz="4" w:space="0" w:color="000000"/>
                  <w:left w:val="single" w:sz="4" w:space="0" w:color="000000"/>
                  <w:bottom w:val="single" w:sz="4" w:space="0" w:color="000000"/>
                  <w:right w:val="single" w:sz="4" w:space="0" w:color="000000"/>
                </w:tcBorders>
              </w:tcPr>
              <w:p w14:paraId="0F409C45" w14:textId="77777777" w:rsidR="00F31DD1" w:rsidRDefault="00000000">
                <w:pPr>
                  <w:rPr>
                    <w:rFonts w:ascii="Arial" w:eastAsia="Arial" w:hAnsi="Arial" w:cs="Arial"/>
                    <w:sz w:val="22"/>
                    <w:szCs w:val="22"/>
                  </w:rPr>
                </w:pPr>
                <w:r>
                  <w:rPr>
                    <w:rFonts w:ascii="Arial" w:eastAsia="Arial" w:hAnsi="Arial" w:cs="Arial"/>
                    <w:sz w:val="22"/>
                    <w:szCs w:val="22"/>
                  </w:rPr>
                  <w:t>Acuerdo 676 de 2017</w:t>
                </w:r>
              </w:p>
            </w:tc>
            <w:tc>
              <w:tcPr>
                <w:tcW w:w="3390" w:type="dxa"/>
                <w:tcBorders>
                  <w:top w:val="single" w:sz="4" w:space="0" w:color="000000"/>
                  <w:left w:val="single" w:sz="4" w:space="0" w:color="000000"/>
                  <w:bottom w:val="single" w:sz="4" w:space="0" w:color="000000"/>
                  <w:right w:val="single" w:sz="4" w:space="0" w:color="000000"/>
                </w:tcBorders>
              </w:tcPr>
              <w:p w14:paraId="3CB7B4E5" w14:textId="77777777" w:rsidR="00F31DD1" w:rsidRDefault="00000000">
                <w:pPr>
                  <w:jc w:val="both"/>
                  <w:rPr>
                    <w:rFonts w:ascii="Arial" w:eastAsia="Arial" w:hAnsi="Arial" w:cs="Arial"/>
                    <w:sz w:val="22"/>
                    <w:szCs w:val="22"/>
                  </w:rPr>
                </w:pPr>
                <w:r>
                  <w:rPr>
                    <w:rFonts w:ascii="Arial" w:eastAsia="Arial" w:hAnsi="Arial" w:cs="Arial"/>
                    <w:sz w:val="22"/>
                    <w:szCs w:val="22"/>
                  </w:rPr>
                  <w:t>Por el cual se establecen lineamientos para prevenir la violencia basada en género y el feminicidio en Bogotá D.C. y se dictan otras disposiciones</w:t>
                </w:r>
              </w:p>
            </w:tc>
            <w:tc>
              <w:tcPr>
                <w:tcW w:w="3675" w:type="dxa"/>
                <w:tcBorders>
                  <w:top w:val="single" w:sz="4" w:space="0" w:color="000000"/>
                  <w:left w:val="single" w:sz="4" w:space="0" w:color="000000"/>
                  <w:bottom w:val="single" w:sz="4" w:space="0" w:color="000000"/>
                  <w:right w:val="single" w:sz="4" w:space="0" w:color="000000"/>
                </w:tcBorders>
              </w:tcPr>
              <w:p w14:paraId="6EA38703" w14:textId="77777777" w:rsidR="00F31DD1" w:rsidRDefault="00F31DD1">
                <w:pPr>
                  <w:jc w:val="both"/>
                  <w:rPr>
                    <w:rFonts w:ascii="Arial" w:eastAsia="Arial" w:hAnsi="Arial" w:cs="Arial"/>
                    <w:sz w:val="22"/>
                    <w:szCs w:val="22"/>
                  </w:rPr>
                </w:pPr>
                <w:hyperlink r:id="rId12">
                  <w:r>
                    <w:rPr>
                      <w:rFonts w:ascii="Arial" w:eastAsia="Arial" w:hAnsi="Arial" w:cs="Arial"/>
                      <w:color w:val="1155CC"/>
                      <w:sz w:val="22"/>
                      <w:szCs w:val="22"/>
                      <w:u w:val="single"/>
                    </w:rPr>
                    <w:t>https://www.alcaldiabogota.gov.co/sisjur/normas/Norma1.jsp?i=69450</w:t>
                  </w:r>
                </w:hyperlink>
                <w:r w:rsidR="00000000">
                  <w:rPr>
                    <w:rFonts w:ascii="Arial" w:eastAsia="Arial" w:hAnsi="Arial" w:cs="Arial"/>
                    <w:sz w:val="22"/>
                    <w:szCs w:val="22"/>
                  </w:rPr>
                  <w:t xml:space="preserve"> </w:t>
                </w:r>
              </w:p>
            </w:tc>
          </w:tr>
          <w:tr w:rsidR="00F31DD1" w14:paraId="67CF989F" w14:textId="77777777">
            <w:tc>
              <w:tcPr>
                <w:tcW w:w="1770" w:type="dxa"/>
                <w:tcBorders>
                  <w:top w:val="single" w:sz="4" w:space="0" w:color="000000"/>
                  <w:left w:val="single" w:sz="4" w:space="0" w:color="000000"/>
                  <w:bottom w:val="single" w:sz="4" w:space="0" w:color="000000"/>
                  <w:right w:val="single" w:sz="4" w:space="0" w:color="000000"/>
                </w:tcBorders>
              </w:tcPr>
              <w:p w14:paraId="3C627FEE" w14:textId="77777777" w:rsidR="00F31DD1" w:rsidRDefault="00000000">
                <w:pPr>
                  <w:rPr>
                    <w:rFonts w:ascii="Arial" w:eastAsia="Arial" w:hAnsi="Arial" w:cs="Arial"/>
                    <w:sz w:val="22"/>
                    <w:szCs w:val="22"/>
                  </w:rPr>
                </w:pPr>
                <w:r>
                  <w:rPr>
                    <w:rFonts w:ascii="Arial" w:eastAsia="Arial" w:hAnsi="Arial" w:cs="Arial"/>
                    <w:sz w:val="22"/>
                    <w:szCs w:val="22"/>
                  </w:rPr>
                  <w:t>Acuerdo 677 de 2017</w:t>
                </w:r>
              </w:p>
            </w:tc>
            <w:tc>
              <w:tcPr>
                <w:tcW w:w="3390" w:type="dxa"/>
                <w:tcBorders>
                  <w:top w:val="single" w:sz="4" w:space="0" w:color="000000"/>
                  <w:left w:val="single" w:sz="4" w:space="0" w:color="000000"/>
                  <w:bottom w:val="single" w:sz="4" w:space="0" w:color="000000"/>
                  <w:right w:val="single" w:sz="4" w:space="0" w:color="000000"/>
                </w:tcBorders>
              </w:tcPr>
              <w:p w14:paraId="29D2A0EF" w14:textId="77777777" w:rsidR="00F31DD1" w:rsidRDefault="00000000">
                <w:pPr>
                  <w:jc w:val="both"/>
                  <w:rPr>
                    <w:rFonts w:ascii="Arial" w:eastAsia="Arial" w:hAnsi="Arial" w:cs="Arial"/>
                    <w:sz w:val="22"/>
                    <w:szCs w:val="22"/>
                  </w:rPr>
                </w:pPr>
                <w:r>
                  <w:rPr>
                    <w:rFonts w:ascii="Arial" w:eastAsia="Arial" w:hAnsi="Arial" w:cs="Arial"/>
                    <w:sz w:val="22"/>
                    <w:szCs w:val="22"/>
                  </w:rPr>
                  <w:t>Por el cual se crea el Sistema Distrital de Registro e Información Integral de Violencia de Género - VIOLETA</w:t>
                </w:r>
              </w:p>
            </w:tc>
            <w:tc>
              <w:tcPr>
                <w:tcW w:w="3675" w:type="dxa"/>
                <w:tcBorders>
                  <w:top w:val="single" w:sz="4" w:space="0" w:color="000000"/>
                  <w:left w:val="single" w:sz="4" w:space="0" w:color="000000"/>
                  <w:bottom w:val="single" w:sz="4" w:space="0" w:color="000000"/>
                  <w:right w:val="single" w:sz="4" w:space="0" w:color="000000"/>
                </w:tcBorders>
              </w:tcPr>
              <w:p w14:paraId="1074B1A4" w14:textId="77777777" w:rsidR="00F31DD1" w:rsidRDefault="00F31DD1">
                <w:pPr>
                  <w:jc w:val="both"/>
                  <w:rPr>
                    <w:rFonts w:ascii="Arial" w:eastAsia="Arial" w:hAnsi="Arial" w:cs="Arial"/>
                    <w:sz w:val="22"/>
                    <w:szCs w:val="22"/>
                  </w:rPr>
                </w:pPr>
                <w:hyperlink r:id="rId13">
                  <w:r>
                    <w:rPr>
                      <w:rFonts w:ascii="Arial" w:eastAsia="Arial" w:hAnsi="Arial" w:cs="Arial"/>
                      <w:color w:val="1155CC"/>
                      <w:sz w:val="22"/>
                      <w:szCs w:val="22"/>
                      <w:u w:val="single"/>
                    </w:rPr>
                    <w:t>https://www.alcaldiabogota.gov.co/sisjur/normas/Norma1.jsp?i=69451</w:t>
                  </w:r>
                </w:hyperlink>
                <w:r w:rsidR="00000000">
                  <w:rPr>
                    <w:rFonts w:ascii="Arial" w:eastAsia="Arial" w:hAnsi="Arial" w:cs="Arial"/>
                    <w:sz w:val="22"/>
                    <w:szCs w:val="22"/>
                  </w:rPr>
                  <w:t xml:space="preserve"> </w:t>
                </w:r>
              </w:p>
            </w:tc>
          </w:tr>
          <w:tr w:rsidR="00F31DD1" w14:paraId="527121A3" w14:textId="77777777">
            <w:tc>
              <w:tcPr>
                <w:tcW w:w="1770" w:type="dxa"/>
                <w:tcBorders>
                  <w:top w:val="single" w:sz="4" w:space="0" w:color="000000"/>
                  <w:left w:val="single" w:sz="4" w:space="0" w:color="000000"/>
                  <w:bottom w:val="single" w:sz="4" w:space="0" w:color="000000"/>
                  <w:right w:val="single" w:sz="4" w:space="0" w:color="000000"/>
                </w:tcBorders>
              </w:tcPr>
              <w:p w14:paraId="221F06DF" w14:textId="77777777" w:rsidR="00F31DD1" w:rsidRDefault="00000000">
                <w:pPr>
                  <w:rPr>
                    <w:rFonts w:ascii="Arial" w:eastAsia="Arial" w:hAnsi="Arial" w:cs="Arial"/>
                    <w:sz w:val="22"/>
                    <w:szCs w:val="22"/>
                  </w:rPr>
                </w:pPr>
                <w:r>
                  <w:rPr>
                    <w:rFonts w:ascii="Arial" w:eastAsia="Arial" w:hAnsi="Arial" w:cs="Arial"/>
                    <w:sz w:val="22"/>
                    <w:szCs w:val="22"/>
                  </w:rPr>
                  <w:t>Acuerdo 703 de 2018</w:t>
                </w:r>
              </w:p>
            </w:tc>
            <w:tc>
              <w:tcPr>
                <w:tcW w:w="3390" w:type="dxa"/>
                <w:tcBorders>
                  <w:top w:val="single" w:sz="4" w:space="0" w:color="000000"/>
                  <w:left w:val="single" w:sz="4" w:space="0" w:color="000000"/>
                  <w:bottom w:val="single" w:sz="4" w:space="0" w:color="000000"/>
                  <w:right w:val="single" w:sz="4" w:space="0" w:color="000000"/>
                </w:tcBorders>
              </w:tcPr>
              <w:p w14:paraId="1B575D33" w14:textId="77777777" w:rsidR="00F31DD1" w:rsidRDefault="00000000">
                <w:pPr>
                  <w:jc w:val="both"/>
                  <w:rPr>
                    <w:rFonts w:ascii="Arial" w:eastAsia="Arial" w:hAnsi="Arial" w:cs="Arial"/>
                    <w:sz w:val="22"/>
                    <w:szCs w:val="22"/>
                  </w:rPr>
                </w:pPr>
                <w:r>
                  <w:rPr>
                    <w:rFonts w:ascii="Arial" w:eastAsia="Arial" w:hAnsi="Arial" w:cs="Arial"/>
                    <w:sz w:val="22"/>
                    <w:szCs w:val="22"/>
                  </w:rPr>
                  <w:t>Por medio del cual se actualiza el Sistema Distrital de Protección Integral a las Mujeres Víctimas de Violencias SOFIA y se dictan otras disposiciones</w:t>
                </w:r>
              </w:p>
            </w:tc>
            <w:tc>
              <w:tcPr>
                <w:tcW w:w="3675" w:type="dxa"/>
                <w:tcBorders>
                  <w:top w:val="single" w:sz="4" w:space="0" w:color="000000"/>
                  <w:left w:val="single" w:sz="4" w:space="0" w:color="000000"/>
                  <w:bottom w:val="single" w:sz="4" w:space="0" w:color="000000"/>
                  <w:right w:val="single" w:sz="4" w:space="0" w:color="000000"/>
                </w:tcBorders>
              </w:tcPr>
              <w:p w14:paraId="019F2C3F" w14:textId="77777777" w:rsidR="00F31DD1" w:rsidRDefault="00F31DD1">
                <w:pPr>
                  <w:jc w:val="both"/>
                  <w:rPr>
                    <w:rFonts w:ascii="Arial" w:eastAsia="Arial" w:hAnsi="Arial" w:cs="Arial"/>
                    <w:sz w:val="22"/>
                    <w:szCs w:val="22"/>
                  </w:rPr>
                </w:pPr>
                <w:hyperlink r:id="rId14">
                  <w:r>
                    <w:rPr>
                      <w:rFonts w:ascii="Arial" w:eastAsia="Arial" w:hAnsi="Arial" w:cs="Arial"/>
                      <w:color w:val="1155CC"/>
                      <w:sz w:val="22"/>
                      <w:szCs w:val="22"/>
                      <w:u w:val="single"/>
                    </w:rPr>
                    <w:t>https://www.alcaldiabogota.gov.co/sisjur/normas/Norma1.jsp?i=76950</w:t>
                  </w:r>
                </w:hyperlink>
                <w:r w:rsidR="00000000">
                  <w:rPr>
                    <w:rFonts w:ascii="Arial" w:eastAsia="Arial" w:hAnsi="Arial" w:cs="Arial"/>
                    <w:sz w:val="22"/>
                    <w:szCs w:val="22"/>
                  </w:rPr>
                  <w:t xml:space="preserve"> </w:t>
                </w:r>
              </w:p>
            </w:tc>
          </w:tr>
          <w:tr w:rsidR="00F31DD1" w14:paraId="27779789" w14:textId="77777777">
            <w:tc>
              <w:tcPr>
                <w:tcW w:w="1770" w:type="dxa"/>
                <w:tcBorders>
                  <w:top w:val="single" w:sz="4" w:space="0" w:color="000000"/>
                  <w:left w:val="single" w:sz="4" w:space="0" w:color="000000"/>
                  <w:bottom w:val="single" w:sz="4" w:space="0" w:color="000000"/>
                  <w:right w:val="single" w:sz="4" w:space="0" w:color="000000"/>
                </w:tcBorders>
              </w:tcPr>
              <w:p w14:paraId="59243F42" w14:textId="77777777" w:rsidR="00F31DD1" w:rsidRDefault="00000000">
                <w:pPr>
                  <w:rPr>
                    <w:rFonts w:ascii="Arial" w:eastAsia="Arial" w:hAnsi="Arial" w:cs="Arial"/>
                    <w:sz w:val="22"/>
                    <w:szCs w:val="22"/>
                  </w:rPr>
                </w:pPr>
                <w:r>
                  <w:rPr>
                    <w:rFonts w:ascii="Arial" w:eastAsia="Arial" w:hAnsi="Arial" w:cs="Arial"/>
                    <w:sz w:val="22"/>
                    <w:szCs w:val="22"/>
                  </w:rPr>
                  <w:lastRenderedPageBreak/>
                  <w:t>Acuerdo 828 de 2021</w:t>
                </w:r>
              </w:p>
              <w:p w14:paraId="5E9BB27F" w14:textId="77777777" w:rsidR="00F31DD1" w:rsidRDefault="00F31DD1">
                <w:pPr>
                  <w:jc w:val="center"/>
                  <w:rPr>
                    <w:rFonts w:ascii="Arial" w:eastAsia="Arial" w:hAnsi="Arial" w:cs="Arial"/>
                    <w:sz w:val="22"/>
                    <w:szCs w:val="22"/>
                  </w:rPr>
                </w:pPr>
              </w:p>
            </w:tc>
            <w:tc>
              <w:tcPr>
                <w:tcW w:w="3390" w:type="dxa"/>
                <w:tcBorders>
                  <w:top w:val="single" w:sz="4" w:space="0" w:color="000000"/>
                  <w:left w:val="single" w:sz="4" w:space="0" w:color="000000"/>
                  <w:bottom w:val="single" w:sz="4" w:space="0" w:color="000000"/>
                  <w:right w:val="single" w:sz="4" w:space="0" w:color="000000"/>
                </w:tcBorders>
              </w:tcPr>
              <w:p w14:paraId="161BA514" w14:textId="77777777" w:rsidR="00F31DD1" w:rsidRDefault="00000000">
                <w:pPr>
                  <w:jc w:val="both"/>
                  <w:rPr>
                    <w:rFonts w:ascii="Arial" w:eastAsia="Arial" w:hAnsi="Arial" w:cs="Arial"/>
                    <w:sz w:val="22"/>
                    <w:szCs w:val="22"/>
                  </w:rPr>
                </w:pPr>
                <w:r>
                  <w:rPr>
                    <w:rFonts w:ascii="Arial" w:eastAsia="Arial" w:hAnsi="Arial" w:cs="Arial"/>
                    <w:sz w:val="22"/>
                    <w:szCs w:val="22"/>
                  </w:rPr>
                  <w:t>Por el cual se establece el diseño, la implementación, monitoreo y evaluación de un plan distrital en prevención de violencia por razones de sexo y género con énfasis en violencia intrafamiliar y sexual</w:t>
                </w:r>
              </w:p>
            </w:tc>
            <w:tc>
              <w:tcPr>
                <w:tcW w:w="3675" w:type="dxa"/>
                <w:tcBorders>
                  <w:top w:val="single" w:sz="4" w:space="0" w:color="000000"/>
                  <w:left w:val="single" w:sz="4" w:space="0" w:color="000000"/>
                  <w:bottom w:val="single" w:sz="4" w:space="0" w:color="000000"/>
                  <w:right w:val="single" w:sz="4" w:space="0" w:color="000000"/>
                </w:tcBorders>
              </w:tcPr>
              <w:p w14:paraId="3D98BC2B" w14:textId="77777777" w:rsidR="00F31DD1" w:rsidRDefault="00F31DD1">
                <w:pPr>
                  <w:jc w:val="both"/>
                  <w:rPr>
                    <w:rFonts w:ascii="Arial" w:eastAsia="Arial" w:hAnsi="Arial" w:cs="Arial"/>
                    <w:sz w:val="22"/>
                    <w:szCs w:val="22"/>
                  </w:rPr>
                </w:pPr>
                <w:hyperlink r:id="rId15">
                  <w:r>
                    <w:rPr>
                      <w:rFonts w:ascii="Arial" w:eastAsia="Arial" w:hAnsi="Arial" w:cs="Arial"/>
                      <w:color w:val="1155CC"/>
                      <w:sz w:val="22"/>
                      <w:szCs w:val="22"/>
                      <w:u w:val="single"/>
                    </w:rPr>
                    <w:t>https://sisjur.bogotajuridica.gov.co/sisjur/normas/Norma1.jsp?i=116903</w:t>
                  </w:r>
                </w:hyperlink>
                <w:r w:rsidR="00000000">
                  <w:rPr>
                    <w:rFonts w:ascii="Arial" w:eastAsia="Arial" w:hAnsi="Arial" w:cs="Arial"/>
                    <w:sz w:val="22"/>
                    <w:szCs w:val="22"/>
                  </w:rPr>
                  <w:t xml:space="preserve"> </w:t>
                </w:r>
              </w:p>
            </w:tc>
          </w:tr>
          <w:tr w:rsidR="00F31DD1" w14:paraId="37484767" w14:textId="77777777">
            <w:tc>
              <w:tcPr>
                <w:tcW w:w="1770" w:type="dxa"/>
                <w:tcBorders>
                  <w:top w:val="single" w:sz="4" w:space="0" w:color="000000"/>
                  <w:left w:val="single" w:sz="4" w:space="0" w:color="000000"/>
                  <w:bottom w:val="single" w:sz="4" w:space="0" w:color="000000"/>
                  <w:right w:val="single" w:sz="4" w:space="0" w:color="000000"/>
                </w:tcBorders>
              </w:tcPr>
              <w:p w14:paraId="31FD3B69" w14:textId="77777777" w:rsidR="00F31DD1" w:rsidRDefault="00000000">
                <w:pPr>
                  <w:rPr>
                    <w:rFonts w:ascii="Arial" w:eastAsia="Arial" w:hAnsi="Arial" w:cs="Arial"/>
                    <w:sz w:val="22"/>
                    <w:szCs w:val="22"/>
                  </w:rPr>
                </w:pPr>
                <w:r>
                  <w:rPr>
                    <w:rFonts w:ascii="Arial" w:eastAsia="Arial" w:hAnsi="Arial" w:cs="Arial"/>
                    <w:sz w:val="22"/>
                    <w:szCs w:val="22"/>
                  </w:rPr>
                  <w:t>Acuerdo 909 de 2023</w:t>
                </w:r>
              </w:p>
            </w:tc>
            <w:tc>
              <w:tcPr>
                <w:tcW w:w="3390" w:type="dxa"/>
                <w:tcBorders>
                  <w:top w:val="single" w:sz="4" w:space="0" w:color="000000"/>
                  <w:left w:val="single" w:sz="4" w:space="0" w:color="000000"/>
                  <w:bottom w:val="single" w:sz="4" w:space="0" w:color="000000"/>
                  <w:right w:val="single" w:sz="4" w:space="0" w:color="000000"/>
                </w:tcBorders>
              </w:tcPr>
              <w:p w14:paraId="5ADD0069" w14:textId="77777777" w:rsidR="00F31DD1" w:rsidRDefault="00000000">
                <w:pPr>
                  <w:jc w:val="both"/>
                  <w:rPr>
                    <w:rFonts w:ascii="Arial" w:eastAsia="Arial" w:hAnsi="Arial" w:cs="Arial"/>
                    <w:sz w:val="22"/>
                    <w:szCs w:val="22"/>
                  </w:rPr>
                </w:pPr>
                <w:r>
                  <w:rPr>
                    <w:rFonts w:ascii="Arial" w:eastAsia="Arial" w:hAnsi="Arial" w:cs="Arial"/>
                    <w:sz w:val="22"/>
                    <w:szCs w:val="22"/>
                  </w:rPr>
                  <w:t>Por medio del cual se promueve la creación de semilleros contra el machismo en los colegios del Distrito Capital</w:t>
                </w:r>
              </w:p>
            </w:tc>
            <w:tc>
              <w:tcPr>
                <w:tcW w:w="3675" w:type="dxa"/>
                <w:tcBorders>
                  <w:top w:val="single" w:sz="4" w:space="0" w:color="000000"/>
                  <w:left w:val="single" w:sz="4" w:space="0" w:color="000000"/>
                  <w:bottom w:val="single" w:sz="4" w:space="0" w:color="000000"/>
                  <w:right w:val="single" w:sz="4" w:space="0" w:color="000000"/>
                </w:tcBorders>
              </w:tcPr>
              <w:p w14:paraId="6B65B11B" w14:textId="77777777" w:rsidR="00F31DD1" w:rsidRDefault="00F31DD1">
                <w:pPr>
                  <w:jc w:val="both"/>
                  <w:rPr>
                    <w:rFonts w:ascii="Arial" w:eastAsia="Arial" w:hAnsi="Arial" w:cs="Arial"/>
                    <w:sz w:val="22"/>
                    <w:szCs w:val="22"/>
                  </w:rPr>
                </w:pPr>
                <w:hyperlink r:id="rId16">
                  <w:r>
                    <w:rPr>
                      <w:rFonts w:ascii="Arial" w:eastAsia="Arial" w:hAnsi="Arial" w:cs="Arial"/>
                      <w:color w:val="1155CC"/>
                      <w:sz w:val="22"/>
                      <w:szCs w:val="22"/>
                      <w:u w:val="single"/>
                    </w:rPr>
                    <w:t>https://www.alcaldiabogota.gov.co/sisjur/normas/Norma1.jsp?i=148758</w:t>
                  </w:r>
                </w:hyperlink>
                <w:r w:rsidR="00000000">
                  <w:rPr>
                    <w:rFonts w:ascii="Arial" w:eastAsia="Arial" w:hAnsi="Arial" w:cs="Arial"/>
                    <w:sz w:val="22"/>
                    <w:szCs w:val="22"/>
                  </w:rPr>
                  <w:t xml:space="preserve"> </w:t>
                </w:r>
              </w:p>
            </w:tc>
          </w:tr>
          <w:tr w:rsidR="00F31DD1" w14:paraId="566BF98C" w14:textId="77777777">
            <w:trPr>
              <w:trHeight w:val="240"/>
            </w:trPr>
            <w:tc>
              <w:tcPr>
                <w:tcW w:w="1770" w:type="dxa"/>
                <w:tcBorders>
                  <w:top w:val="single" w:sz="4" w:space="0" w:color="000000"/>
                  <w:left w:val="single" w:sz="4" w:space="0" w:color="000000"/>
                  <w:bottom w:val="single" w:sz="4" w:space="0" w:color="000000"/>
                  <w:right w:val="single" w:sz="4" w:space="0" w:color="000000"/>
                </w:tcBorders>
              </w:tcPr>
              <w:p w14:paraId="6AE81827" w14:textId="77777777" w:rsidR="00F31DD1" w:rsidRDefault="00000000">
                <w:pPr>
                  <w:rPr>
                    <w:rFonts w:ascii="Arial" w:eastAsia="Arial" w:hAnsi="Arial" w:cs="Arial"/>
                    <w:sz w:val="22"/>
                    <w:szCs w:val="22"/>
                  </w:rPr>
                </w:pPr>
                <w:r>
                  <w:rPr>
                    <w:rFonts w:ascii="Arial" w:eastAsia="Arial" w:hAnsi="Arial" w:cs="Arial"/>
                    <w:sz w:val="22"/>
                    <w:szCs w:val="22"/>
                  </w:rPr>
                  <w:t>Proyecto de Acuerdo 22 de 2013</w:t>
                </w:r>
              </w:p>
            </w:tc>
            <w:tc>
              <w:tcPr>
                <w:tcW w:w="3390" w:type="dxa"/>
                <w:tcBorders>
                  <w:top w:val="single" w:sz="4" w:space="0" w:color="000000"/>
                  <w:left w:val="single" w:sz="4" w:space="0" w:color="000000"/>
                  <w:bottom w:val="single" w:sz="4" w:space="0" w:color="000000"/>
                  <w:right w:val="single" w:sz="4" w:space="0" w:color="000000"/>
                </w:tcBorders>
              </w:tcPr>
              <w:p w14:paraId="64F372EC" w14:textId="77777777" w:rsidR="00F31DD1" w:rsidRDefault="00000000">
                <w:pPr>
                  <w:jc w:val="both"/>
                  <w:rPr>
                    <w:rFonts w:ascii="Arial" w:eastAsia="Arial" w:hAnsi="Arial" w:cs="Arial"/>
                    <w:sz w:val="22"/>
                    <w:szCs w:val="22"/>
                  </w:rPr>
                </w:pPr>
                <w:r>
                  <w:rPr>
                    <w:rFonts w:ascii="Arial" w:eastAsia="Arial" w:hAnsi="Arial" w:cs="Arial"/>
                    <w:sz w:val="22"/>
                    <w:szCs w:val="22"/>
                  </w:rPr>
                  <w:t>Por el cual se dictan disposiciones tendientes a mejorar el acceso a la justicia y restablecimiento de derechos de las mujeres en Bogotá D.C.</w:t>
                </w:r>
              </w:p>
            </w:tc>
            <w:tc>
              <w:tcPr>
                <w:tcW w:w="3675" w:type="dxa"/>
                <w:tcBorders>
                  <w:top w:val="single" w:sz="4" w:space="0" w:color="000000"/>
                  <w:left w:val="single" w:sz="4" w:space="0" w:color="000000"/>
                  <w:bottom w:val="single" w:sz="4" w:space="0" w:color="000000"/>
                  <w:right w:val="single" w:sz="4" w:space="0" w:color="000000"/>
                </w:tcBorders>
              </w:tcPr>
              <w:p w14:paraId="6A8CB128" w14:textId="77777777" w:rsidR="00F31DD1" w:rsidRDefault="00000000">
                <w:pPr>
                  <w:jc w:val="both"/>
                  <w:rPr>
                    <w:rFonts w:ascii="Arial" w:eastAsia="Arial" w:hAnsi="Arial" w:cs="Arial"/>
                    <w:sz w:val="22"/>
                    <w:szCs w:val="22"/>
                  </w:rPr>
                </w:pPr>
                <w:r>
                  <w:rPr>
                    <w:rFonts w:ascii="Arial" w:eastAsia="Arial" w:hAnsi="Arial" w:cs="Arial"/>
                    <w:sz w:val="22"/>
                    <w:szCs w:val="22"/>
                  </w:rPr>
                  <w:t>H. C. María Clara Name Ramírez presentó ponencia Negativa y el H. C. Andrés Camacho Casado presentó ponencia Positiva.</w:t>
                </w:r>
              </w:p>
              <w:p w14:paraId="32753B2D" w14:textId="77777777" w:rsidR="00F31DD1" w:rsidRDefault="00F31DD1">
                <w:pPr>
                  <w:jc w:val="both"/>
                  <w:rPr>
                    <w:rFonts w:ascii="Arial" w:eastAsia="Arial" w:hAnsi="Arial" w:cs="Arial"/>
                    <w:sz w:val="22"/>
                    <w:szCs w:val="22"/>
                  </w:rPr>
                </w:pPr>
              </w:p>
            </w:tc>
          </w:tr>
          <w:tr w:rsidR="00F31DD1" w14:paraId="6D115FBA" w14:textId="77777777">
            <w:trPr>
              <w:trHeight w:val="240"/>
            </w:trPr>
            <w:tc>
              <w:tcPr>
                <w:tcW w:w="1770" w:type="dxa"/>
                <w:tcBorders>
                  <w:top w:val="single" w:sz="4" w:space="0" w:color="000000"/>
                  <w:left w:val="single" w:sz="4" w:space="0" w:color="000000"/>
                  <w:bottom w:val="single" w:sz="4" w:space="0" w:color="000000"/>
                  <w:right w:val="single" w:sz="4" w:space="0" w:color="000000"/>
                </w:tcBorders>
              </w:tcPr>
              <w:p w14:paraId="075165A7" w14:textId="77777777" w:rsidR="00F31DD1" w:rsidRDefault="00000000">
                <w:pPr>
                  <w:rPr>
                    <w:rFonts w:ascii="Arial" w:eastAsia="Arial" w:hAnsi="Arial" w:cs="Arial"/>
                    <w:sz w:val="22"/>
                    <w:szCs w:val="22"/>
                  </w:rPr>
                </w:pPr>
                <w:r>
                  <w:rPr>
                    <w:rFonts w:ascii="Arial" w:eastAsia="Arial" w:hAnsi="Arial" w:cs="Arial"/>
                    <w:sz w:val="22"/>
                    <w:szCs w:val="22"/>
                  </w:rPr>
                  <w:t>Proyecto de Acuerdo 104 de 2013</w:t>
                </w:r>
              </w:p>
            </w:tc>
            <w:tc>
              <w:tcPr>
                <w:tcW w:w="3390" w:type="dxa"/>
                <w:tcBorders>
                  <w:top w:val="single" w:sz="4" w:space="0" w:color="000000"/>
                  <w:left w:val="single" w:sz="4" w:space="0" w:color="000000"/>
                  <w:bottom w:val="single" w:sz="4" w:space="0" w:color="000000"/>
                  <w:right w:val="single" w:sz="4" w:space="0" w:color="000000"/>
                </w:tcBorders>
              </w:tcPr>
              <w:p w14:paraId="58B55976" w14:textId="77777777" w:rsidR="00F31DD1" w:rsidRDefault="00000000">
                <w:pPr>
                  <w:jc w:val="both"/>
                  <w:rPr>
                    <w:rFonts w:ascii="Arial" w:eastAsia="Arial" w:hAnsi="Arial" w:cs="Arial"/>
                    <w:sz w:val="22"/>
                    <w:szCs w:val="22"/>
                  </w:rPr>
                </w:pPr>
                <w:r>
                  <w:rPr>
                    <w:rFonts w:ascii="Arial" w:eastAsia="Arial" w:hAnsi="Arial" w:cs="Arial"/>
                    <w:sz w:val="22"/>
                    <w:szCs w:val="22"/>
                  </w:rPr>
                  <w:t>Por el cual se dictan disposiciones tendientes a mejorar el acceso a la justicia y restablecimiento de derechos de las mujeres en Bogotá D.C.</w:t>
                </w:r>
              </w:p>
            </w:tc>
            <w:tc>
              <w:tcPr>
                <w:tcW w:w="3675" w:type="dxa"/>
                <w:tcBorders>
                  <w:top w:val="single" w:sz="4" w:space="0" w:color="000000"/>
                  <w:left w:val="single" w:sz="4" w:space="0" w:color="000000"/>
                  <w:bottom w:val="single" w:sz="4" w:space="0" w:color="000000"/>
                  <w:right w:val="single" w:sz="4" w:space="0" w:color="000000"/>
                </w:tcBorders>
              </w:tcPr>
              <w:p w14:paraId="4035DAA2" w14:textId="77777777" w:rsidR="00F31DD1" w:rsidRDefault="00000000">
                <w:pPr>
                  <w:jc w:val="both"/>
                  <w:rPr>
                    <w:rFonts w:ascii="Arial" w:eastAsia="Arial" w:hAnsi="Arial" w:cs="Arial"/>
                    <w:sz w:val="22"/>
                    <w:szCs w:val="22"/>
                  </w:rPr>
                </w:pPr>
                <w:r>
                  <w:rPr>
                    <w:rFonts w:ascii="Arial" w:eastAsia="Arial" w:hAnsi="Arial" w:cs="Arial"/>
                    <w:sz w:val="22"/>
                    <w:szCs w:val="22"/>
                  </w:rPr>
                  <w:t>Recibió ponencia Negativa del H. C. Jairo Cardozo Salazar y Positiva del H. C. Jorge Ernesto Salamanca Cortés.</w:t>
                </w:r>
              </w:p>
            </w:tc>
          </w:tr>
          <w:tr w:rsidR="00F31DD1" w14:paraId="0FC38669" w14:textId="77777777">
            <w:trPr>
              <w:trHeight w:val="240"/>
            </w:trPr>
            <w:tc>
              <w:tcPr>
                <w:tcW w:w="1770" w:type="dxa"/>
                <w:tcBorders>
                  <w:top w:val="single" w:sz="4" w:space="0" w:color="000000"/>
                  <w:left w:val="single" w:sz="4" w:space="0" w:color="000000"/>
                  <w:bottom w:val="single" w:sz="4" w:space="0" w:color="000000"/>
                  <w:right w:val="single" w:sz="4" w:space="0" w:color="000000"/>
                </w:tcBorders>
              </w:tcPr>
              <w:p w14:paraId="4E924B78" w14:textId="77777777" w:rsidR="00F31DD1" w:rsidRDefault="00000000">
                <w:pPr>
                  <w:rPr>
                    <w:rFonts w:ascii="Arial" w:eastAsia="Arial" w:hAnsi="Arial" w:cs="Arial"/>
                    <w:sz w:val="22"/>
                    <w:szCs w:val="22"/>
                  </w:rPr>
                </w:pPr>
                <w:r>
                  <w:rPr>
                    <w:rFonts w:ascii="Arial" w:eastAsia="Arial" w:hAnsi="Arial" w:cs="Arial"/>
                    <w:sz w:val="22"/>
                    <w:szCs w:val="22"/>
                  </w:rPr>
                  <w:t>Proyecto de Acuerdo 150 de 2013</w:t>
                </w:r>
              </w:p>
              <w:p w14:paraId="5D661FD2" w14:textId="77777777" w:rsidR="00F31DD1" w:rsidRDefault="00F31DD1">
                <w:pPr>
                  <w:rPr>
                    <w:rFonts w:ascii="Arial" w:eastAsia="Arial" w:hAnsi="Arial" w:cs="Arial"/>
                    <w:sz w:val="22"/>
                    <w:szCs w:val="22"/>
                  </w:rPr>
                </w:pPr>
              </w:p>
              <w:p w14:paraId="31DFA457" w14:textId="77777777" w:rsidR="00F31DD1" w:rsidRDefault="00F31DD1">
                <w:pPr>
                  <w:rPr>
                    <w:rFonts w:ascii="Arial" w:eastAsia="Arial" w:hAnsi="Arial" w:cs="Arial"/>
                    <w:sz w:val="22"/>
                    <w:szCs w:val="22"/>
                  </w:rPr>
                </w:pPr>
              </w:p>
            </w:tc>
            <w:tc>
              <w:tcPr>
                <w:tcW w:w="3390" w:type="dxa"/>
                <w:tcBorders>
                  <w:top w:val="single" w:sz="4" w:space="0" w:color="000000"/>
                  <w:left w:val="single" w:sz="4" w:space="0" w:color="000000"/>
                  <w:bottom w:val="single" w:sz="4" w:space="0" w:color="000000"/>
                  <w:right w:val="single" w:sz="4" w:space="0" w:color="000000"/>
                </w:tcBorders>
              </w:tcPr>
              <w:p w14:paraId="6BB06A68" w14:textId="77777777" w:rsidR="00F31DD1" w:rsidRDefault="00000000">
                <w:pPr>
                  <w:jc w:val="both"/>
                  <w:rPr>
                    <w:rFonts w:ascii="Arial" w:eastAsia="Arial" w:hAnsi="Arial" w:cs="Arial"/>
                    <w:sz w:val="22"/>
                    <w:szCs w:val="22"/>
                  </w:rPr>
                </w:pPr>
                <w:r>
                  <w:rPr>
                    <w:rFonts w:ascii="Arial" w:eastAsia="Arial" w:hAnsi="Arial" w:cs="Arial"/>
                    <w:sz w:val="22"/>
                    <w:szCs w:val="22"/>
                  </w:rPr>
                  <w:t>Por el cual se dictan disposiciones tendientes a mejorar el acceso a la justicia y restablecimiento de derechos de las mujeres en Bogotá D.C.</w:t>
                </w:r>
              </w:p>
            </w:tc>
            <w:tc>
              <w:tcPr>
                <w:tcW w:w="3675" w:type="dxa"/>
                <w:tcBorders>
                  <w:top w:val="single" w:sz="4" w:space="0" w:color="000000"/>
                  <w:left w:val="single" w:sz="4" w:space="0" w:color="000000"/>
                  <w:bottom w:val="single" w:sz="4" w:space="0" w:color="000000"/>
                  <w:right w:val="single" w:sz="4" w:space="0" w:color="000000"/>
                </w:tcBorders>
              </w:tcPr>
              <w:p w14:paraId="69EEF896" w14:textId="77777777" w:rsidR="00F31DD1" w:rsidRDefault="00000000">
                <w:pPr>
                  <w:jc w:val="both"/>
                  <w:rPr>
                    <w:rFonts w:ascii="Arial" w:eastAsia="Arial" w:hAnsi="Arial" w:cs="Arial"/>
                    <w:sz w:val="22"/>
                    <w:szCs w:val="22"/>
                  </w:rPr>
                </w:pPr>
                <w:r>
                  <w:rPr>
                    <w:rFonts w:ascii="Arial" w:eastAsia="Arial" w:hAnsi="Arial" w:cs="Arial"/>
                    <w:sz w:val="22"/>
                    <w:szCs w:val="22"/>
                  </w:rPr>
                  <w:t>Recibió ponencias positivas de los Hs. Cs. Jorge Lozada Valderrama y Clara Lucía Sandoval Moreno.</w:t>
                </w:r>
              </w:p>
            </w:tc>
          </w:tr>
          <w:tr w:rsidR="00F31DD1" w14:paraId="4F3AB781" w14:textId="77777777">
            <w:trPr>
              <w:trHeight w:val="240"/>
            </w:trPr>
            <w:tc>
              <w:tcPr>
                <w:tcW w:w="1770" w:type="dxa"/>
                <w:tcBorders>
                  <w:top w:val="single" w:sz="4" w:space="0" w:color="000000"/>
                  <w:left w:val="single" w:sz="4" w:space="0" w:color="000000"/>
                  <w:bottom w:val="single" w:sz="4" w:space="0" w:color="000000"/>
                  <w:right w:val="single" w:sz="4" w:space="0" w:color="000000"/>
                </w:tcBorders>
              </w:tcPr>
              <w:p w14:paraId="5B081D8B" w14:textId="77777777" w:rsidR="00F31DD1" w:rsidRDefault="00000000">
                <w:pPr>
                  <w:rPr>
                    <w:rFonts w:ascii="Arial" w:eastAsia="Arial" w:hAnsi="Arial" w:cs="Arial"/>
                    <w:sz w:val="22"/>
                    <w:szCs w:val="22"/>
                  </w:rPr>
                </w:pPr>
                <w:r>
                  <w:rPr>
                    <w:rFonts w:ascii="Arial" w:eastAsia="Arial" w:hAnsi="Arial" w:cs="Arial"/>
                    <w:sz w:val="22"/>
                    <w:szCs w:val="22"/>
                  </w:rPr>
                  <w:t xml:space="preserve">Proyecto de Acuerdo 253 de 2013, acumulado con el Proyecto de Acuerdo 230 </w:t>
                </w:r>
              </w:p>
            </w:tc>
            <w:tc>
              <w:tcPr>
                <w:tcW w:w="3390" w:type="dxa"/>
                <w:tcBorders>
                  <w:top w:val="single" w:sz="4" w:space="0" w:color="000000"/>
                  <w:left w:val="single" w:sz="4" w:space="0" w:color="000000"/>
                  <w:bottom w:val="single" w:sz="4" w:space="0" w:color="000000"/>
                  <w:right w:val="single" w:sz="4" w:space="0" w:color="000000"/>
                </w:tcBorders>
              </w:tcPr>
              <w:p w14:paraId="61624E90" w14:textId="77777777" w:rsidR="00F31DD1" w:rsidRDefault="00000000">
                <w:pPr>
                  <w:jc w:val="both"/>
                  <w:rPr>
                    <w:rFonts w:ascii="Arial" w:eastAsia="Arial" w:hAnsi="Arial" w:cs="Arial"/>
                    <w:sz w:val="22"/>
                    <w:szCs w:val="22"/>
                  </w:rPr>
                </w:pPr>
                <w:r>
                  <w:rPr>
                    <w:rFonts w:ascii="Arial" w:eastAsia="Arial" w:hAnsi="Arial" w:cs="Arial"/>
                    <w:sz w:val="22"/>
                    <w:szCs w:val="22"/>
                  </w:rPr>
                  <w:t>Por el cual se dictan disposiciones tendientes a mejorar el acceso a la justicia y restablecimiento de derechos de las mujeres en Bogotá D.C.</w:t>
                </w:r>
              </w:p>
            </w:tc>
            <w:tc>
              <w:tcPr>
                <w:tcW w:w="3675" w:type="dxa"/>
                <w:tcBorders>
                  <w:top w:val="single" w:sz="4" w:space="0" w:color="000000"/>
                  <w:left w:val="single" w:sz="4" w:space="0" w:color="000000"/>
                  <w:bottom w:val="single" w:sz="4" w:space="0" w:color="000000"/>
                  <w:right w:val="single" w:sz="4" w:space="0" w:color="000000"/>
                </w:tcBorders>
              </w:tcPr>
              <w:p w14:paraId="136CC7D3" w14:textId="77777777" w:rsidR="00F31DD1" w:rsidRDefault="00000000">
                <w:pPr>
                  <w:rPr>
                    <w:rFonts w:ascii="Arial" w:eastAsia="Arial" w:hAnsi="Arial" w:cs="Arial"/>
                    <w:sz w:val="22"/>
                    <w:szCs w:val="22"/>
                  </w:rPr>
                </w:pPr>
                <w:r>
                  <w:rPr>
                    <w:rFonts w:ascii="Arial" w:eastAsia="Arial" w:hAnsi="Arial" w:cs="Arial"/>
                    <w:sz w:val="22"/>
                    <w:szCs w:val="22"/>
                  </w:rPr>
                  <w:t>Recibió ponencias positivas de los Hs. Cs. Jorge Ernesto Salamanca Cortés y Carlos Roberto Sáenz</w:t>
                </w:r>
              </w:p>
            </w:tc>
          </w:tr>
          <w:tr w:rsidR="00F31DD1" w14:paraId="4E2EFF86" w14:textId="77777777">
            <w:trPr>
              <w:trHeight w:val="240"/>
            </w:trPr>
            <w:tc>
              <w:tcPr>
                <w:tcW w:w="1770" w:type="dxa"/>
                <w:tcBorders>
                  <w:top w:val="single" w:sz="4" w:space="0" w:color="000000"/>
                  <w:left w:val="single" w:sz="4" w:space="0" w:color="000000"/>
                  <w:bottom w:val="single" w:sz="4" w:space="0" w:color="000000"/>
                  <w:right w:val="single" w:sz="4" w:space="0" w:color="000000"/>
                </w:tcBorders>
              </w:tcPr>
              <w:p w14:paraId="1A9E9F24" w14:textId="77777777" w:rsidR="00F31DD1" w:rsidRDefault="00000000">
                <w:pPr>
                  <w:rPr>
                    <w:rFonts w:ascii="Arial" w:eastAsia="Arial" w:hAnsi="Arial" w:cs="Arial"/>
                    <w:sz w:val="22"/>
                    <w:szCs w:val="22"/>
                  </w:rPr>
                </w:pPr>
                <w:r>
                  <w:rPr>
                    <w:rFonts w:ascii="Arial" w:eastAsia="Arial" w:hAnsi="Arial" w:cs="Arial"/>
                    <w:sz w:val="22"/>
                    <w:szCs w:val="22"/>
                  </w:rPr>
                  <w:t>Proyecto de Acuerdo 223 y 311 de 2014</w:t>
                </w:r>
              </w:p>
            </w:tc>
            <w:tc>
              <w:tcPr>
                <w:tcW w:w="3390" w:type="dxa"/>
                <w:tcBorders>
                  <w:top w:val="single" w:sz="4" w:space="0" w:color="000000"/>
                  <w:left w:val="single" w:sz="4" w:space="0" w:color="000000"/>
                  <w:bottom w:val="single" w:sz="4" w:space="0" w:color="000000"/>
                  <w:right w:val="single" w:sz="4" w:space="0" w:color="000000"/>
                </w:tcBorders>
              </w:tcPr>
              <w:p w14:paraId="524BE24C" w14:textId="77777777" w:rsidR="00F31DD1" w:rsidRDefault="00000000">
                <w:pPr>
                  <w:jc w:val="both"/>
                  <w:rPr>
                    <w:rFonts w:ascii="Arial" w:eastAsia="Arial" w:hAnsi="Arial" w:cs="Arial"/>
                    <w:sz w:val="22"/>
                    <w:szCs w:val="22"/>
                  </w:rPr>
                </w:pPr>
                <w:r>
                  <w:rPr>
                    <w:rFonts w:ascii="Arial" w:eastAsia="Arial" w:hAnsi="Arial" w:cs="Arial"/>
                    <w:sz w:val="22"/>
                    <w:szCs w:val="22"/>
                  </w:rPr>
                  <w:t>Por el cual se dictan disposiciones tendientes a mejorar el acceso a la justicia y restablecimiento de derechos de las mujeres en Bogotá D.C.</w:t>
                </w:r>
              </w:p>
            </w:tc>
            <w:tc>
              <w:tcPr>
                <w:tcW w:w="3675" w:type="dxa"/>
                <w:tcBorders>
                  <w:top w:val="single" w:sz="4" w:space="0" w:color="000000"/>
                  <w:left w:val="single" w:sz="4" w:space="0" w:color="000000"/>
                  <w:bottom w:val="single" w:sz="4" w:space="0" w:color="000000"/>
                  <w:right w:val="single" w:sz="4" w:space="0" w:color="000000"/>
                </w:tcBorders>
              </w:tcPr>
              <w:p w14:paraId="44355C9E" w14:textId="77777777" w:rsidR="00F31DD1" w:rsidRDefault="00000000">
                <w:pPr>
                  <w:rPr>
                    <w:rFonts w:ascii="Arial" w:eastAsia="Arial" w:hAnsi="Arial" w:cs="Arial"/>
                    <w:sz w:val="22"/>
                    <w:szCs w:val="22"/>
                  </w:rPr>
                </w:pPr>
                <w:r>
                  <w:rPr>
                    <w:rFonts w:ascii="Arial" w:eastAsia="Arial" w:hAnsi="Arial" w:cs="Arial"/>
                    <w:sz w:val="22"/>
                    <w:szCs w:val="22"/>
                  </w:rPr>
                  <w:t>Recibió de los Hs. Cs. Olga Victoria Rubio Cortés y Carlos Vicente de Roux R. ponencias positivas</w:t>
                </w:r>
              </w:p>
            </w:tc>
          </w:tr>
          <w:tr w:rsidR="00F31DD1" w14:paraId="4B52C2BC" w14:textId="77777777">
            <w:tc>
              <w:tcPr>
                <w:tcW w:w="1770" w:type="dxa"/>
                <w:tcBorders>
                  <w:top w:val="single" w:sz="4" w:space="0" w:color="000000"/>
                  <w:left w:val="single" w:sz="4" w:space="0" w:color="000000"/>
                  <w:bottom w:val="single" w:sz="4" w:space="0" w:color="000000"/>
                  <w:right w:val="single" w:sz="4" w:space="0" w:color="000000"/>
                </w:tcBorders>
              </w:tcPr>
              <w:p w14:paraId="7C0DA79F" w14:textId="77777777" w:rsidR="00F31DD1" w:rsidRDefault="00000000">
                <w:pPr>
                  <w:rPr>
                    <w:rFonts w:ascii="Arial" w:eastAsia="Arial" w:hAnsi="Arial" w:cs="Arial"/>
                    <w:sz w:val="22"/>
                    <w:szCs w:val="22"/>
                  </w:rPr>
                </w:pPr>
                <w:r>
                  <w:rPr>
                    <w:rFonts w:ascii="Arial" w:eastAsia="Arial" w:hAnsi="Arial" w:cs="Arial"/>
                    <w:sz w:val="22"/>
                    <w:szCs w:val="22"/>
                  </w:rPr>
                  <w:t>Proyecto de Acuerdo 537 de 2025</w:t>
                </w:r>
              </w:p>
              <w:p w14:paraId="32E466D7" w14:textId="77777777" w:rsidR="00F31DD1" w:rsidRDefault="00F31DD1">
                <w:pPr>
                  <w:jc w:val="center"/>
                  <w:rPr>
                    <w:rFonts w:ascii="Arial" w:eastAsia="Arial" w:hAnsi="Arial" w:cs="Arial"/>
                    <w:sz w:val="22"/>
                    <w:szCs w:val="22"/>
                  </w:rPr>
                </w:pPr>
              </w:p>
            </w:tc>
            <w:tc>
              <w:tcPr>
                <w:tcW w:w="3390" w:type="dxa"/>
                <w:tcBorders>
                  <w:top w:val="single" w:sz="4" w:space="0" w:color="000000"/>
                  <w:left w:val="single" w:sz="4" w:space="0" w:color="000000"/>
                  <w:bottom w:val="single" w:sz="4" w:space="0" w:color="000000"/>
                  <w:right w:val="single" w:sz="4" w:space="0" w:color="000000"/>
                </w:tcBorders>
              </w:tcPr>
              <w:p w14:paraId="7F4A051E" w14:textId="77777777" w:rsidR="00F31DD1" w:rsidRDefault="00000000">
                <w:pPr>
                  <w:jc w:val="both"/>
                  <w:rPr>
                    <w:rFonts w:ascii="Arial" w:eastAsia="Arial" w:hAnsi="Arial" w:cs="Arial"/>
                    <w:sz w:val="22"/>
                    <w:szCs w:val="22"/>
                  </w:rPr>
                </w:pPr>
                <w:r>
                  <w:rPr>
                    <w:rFonts w:ascii="Arial" w:eastAsia="Arial" w:hAnsi="Arial" w:cs="Arial"/>
                    <w:sz w:val="22"/>
                    <w:szCs w:val="22"/>
                  </w:rPr>
                  <w:t>“Por medio del cual se conmemora el día de la lucha contra la violencia hacia las mujeres en las vías y el espacio público en el Distrito Capital”</w:t>
                </w:r>
              </w:p>
              <w:p w14:paraId="55B346E2" w14:textId="77777777" w:rsidR="00F31DD1" w:rsidRDefault="00F31DD1">
                <w:pPr>
                  <w:jc w:val="both"/>
                  <w:rPr>
                    <w:rFonts w:ascii="Arial" w:eastAsia="Arial" w:hAnsi="Arial" w:cs="Arial"/>
                    <w:sz w:val="22"/>
                    <w:szCs w:val="22"/>
                  </w:rPr>
                </w:pPr>
              </w:p>
            </w:tc>
            <w:tc>
              <w:tcPr>
                <w:tcW w:w="3675" w:type="dxa"/>
                <w:tcBorders>
                  <w:top w:val="single" w:sz="4" w:space="0" w:color="000000"/>
                  <w:left w:val="single" w:sz="4" w:space="0" w:color="000000"/>
                  <w:bottom w:val="single" w:sz="4" w:space="0" w:color="000000"/>
                  <w:right w:val="single" w:sz="4" w:space="0" w:color="000000"/>
                </w:tcBorders>
              </w:tcPr>
              <w:p w14:paraId="59B33706" w14:textId="77777777" w:rsidR="00F31DD1" w:rsidRDefault="00000000">
                <w:pPr>
                  <w:jc w:val="both"/>
                  <w:rPr>
                    <w:rFonts w:ascii="Arial" w:eastAsia="Arial" w:hAnsi="Arial" w:cs="Arial"/>
                    <w:sz w:val="22"/>
                    <w:szCs w:val="22"/>
                  </w:rPr>
                </w:pPr>
                <w:r>
                  <w:rPr>
                    <w:rFonts w:ascii="Arial" w:eastAsia="Arial" w:hAnsi="Arial" w:cs="Arial"/>
                    <w:sz w:val="22"/>
                    <w:szCs w:val="22"/>
                  </w:rPr>
                  <w:t>Al momento de presentarse esta ponencia estaba en trámite de ponencias de los Hs. Cs. Andrés Darío Onzaga Niño (Coordinador) y Jesús David Araque Mejía</w:t>
                </w:r>
              </w:p>
            </w:tc>
          </w:tr>
          <w:tr w:rsidR="00F31DD1" w14:paraId="6DF4A7C9" w14:textId="77777777">
            <w:tc>
              <w:tcPr>
                <w:tcW w:w="1770" w:type="dxa"/>
                <w:tcBorders>
                  <w:top w:val="single" w:sz="4" w:space="0" w:color="000000"/>
                  <w:left w:val="single" w:sz="4" w:space="0" w:color="000000"/>
                  <w:bottom w:val="single" w:sz="4" w:space="0" w:color="000000"/>
                  <w:right w:val="single" w:sz="4" w:space="0" w:color="000000"/>
                </w:tcBorders>
              </w:tcPr>
              <w:p w14:paraId="4105932B" w14:textId="77777777" w:rsidR="00F31DD1" w:rsidRDefault="00000000">
                <w:pPr>
                  <w:rPr>
                    <w:rFonts w:ascii="Arial" w:eastAsia="Arial" w:hAnsi="Arial" w:cs="Arial"/>
                    <w:sz w:val="22"/>
                    <w:szCs w:val="22"/>
                  </w:rPr>
                </w:pPr>
                <w:r>
                  <w:rPr>
                    <w:rFonts w:ascii="Arial" w:eastAsia="Arial" w:hAnsi="Arial" w:cs="Arial"/>
                    <w:sz w:val="22"/>
                    <w:szCs w:val="22"/>
                  </w:rPr>
                  <w:t>Proyecto de Acuerdo 629 de 2025</w:t>
                </w:r>
              </w:p>
            </w:tc>
            <w:tc>
              <w:tcPr>
                <w:tcW w:w="3390" w:type="dxa"/>
                <w:tcBorders>
                  <w:top w:val="single" w:sz="4" w:space="0" w:color="000000"/>
                  <w:left w:val="single" w:sz="4" w:space="0" w:color="000000"/>
                  <w:bottom w:val="single" w:sz="4" w:space="0" w:color="000000"/>
                  <w:right w:val="single" w:sz="4" w:space="0" w:color="000000"/>
                </w:tcBorders>
              </w:tcPr>
              <w:p w14:paraId="0DEBAF8B" w14:textId="77777777" w:rsidR="00F31DD1" w:rsidRDefault="00000000">
                <w:pPr>
                  <w:jc w:val="both"/>
                  <w:rPr>
                    <w:rFonts w:ascii="Arial" w:eastAsia="Arial" w:hAnsi="Arial" w:cs="Arial"/>
                    <w:sz w:val="22"/>
                    <w:szCs w:val="22"/>
                  </w:rPr>
                </w:pPr>
                <w:r>
                  <w:rPr>
                    <w:rFonts w:ascii="Arial" w:eastAsia="Arial" w:hAnsi="Arial" w:cs="Arial"/>
                    <w:sz w:val="22"/>
                    <w:szCs w:val="22"/>
                  </w:rPr>
                  <w:t xml:space="preserve">Por el cual se institucionaliza en el Distrito Capital el “Curso pedagógico sobre los Derechos </w:t>
                </w:r>
                <w:r>
                  <w:rPr>
                    <w:rFonts w:ascii="Arial" w:eastAsia="Arial" w:hAnsi="Arial" w:cs="Arial"/>
                    <w:sz w:val="22"/>
                    <w:szCs w:val="22"/>
                  </w:rPr>
                  <w:lastRenderedPageBreak/>
                  <w:t>de las Mujeres y la Familia, dentro del marco de las acciones contra la violencia en el contexto familiar y de género"</w:t>
                </w:r>
              </w:p>
            </w:tc>
            <w:tc>
              <w:tcPr>
                <w:tcW w:w="3675" w:type="dxa"/>
                <w:tcBorders>
                  <w:top w:val="single" w:sz="4" w:space="0" w:color="000000"/>
                  <w:left w:val="single" w:sz="4" w:space="0" w:color="000000"/>
                  <w:bottom w:val="single" w:sz="4" w:space="0" w:color="000000"/>
                  <w:right w:val="single" w:sz="4" w:space="0" w:color="000000"/>
                </w:tcBorders>
              </w:tcPr>
              <w:p w14:paraId="25BA0F96" w14:textId="77777777" w:rsidR="00F31DD1" w:rsidRDefault="00000000">
                <w:pPr>
                  <w:jc w:val="both"/>
                  <w:rPr>
                    <w:rFonts w:ascii="Arial" w:eastAsia="Arial" w:hAnsi="Arial" w:cs="Arial"/>
                    <w:sz w:val="22"/>
                    <w:szCs w:val="22"/>
                  </w:rPr>
                </w:pPr>
                <w:r>
                  <w:rPr>
                    <w:rFonts w:ascii="Arial" w:eastAsia="Arial" w:hAnsi="Arial" w:cs="Arial"/>
                    <w:sz w:val="22"/>
                    <w:szCs w:val="22"/>
                  </w:rPr>
                  <w:lastRenderedPageBreak/>
                  <w:t xml:space="preserve">Al momento de presentarse esta ponencia estaba en trámite de ponencias de los Hs. Cs. Andrés </w:t>
                </w:r>
                <w:r>
                  <w:rPr>
                    <w:rFonts w:ascii="Arial" w:eastAsia="Arial" w:hAnsi="Arial" w:cs="Arial"/>
                    <w:sz w:val="22"/>
                    <w:szCs w:val="22"/>
                  </w:rPr>
                  <w:lastRenderedPageBreak/>
                  <w:t>Giovanni Barrios Bernal (Coordinador) y Rocío Dussán Pérez</w:t>
                </w:r>
              </w:p>
            </w:tc>
          </w:tr>
          <w:tr w:rsidR="00F31DD1" w14:paraId="764279A2" w14:textId="77777777">
            <w:tc>
              <w:tcPr>
                <w:tcW w:w="1770" w:type="dxa"/>
                <w:tcBorders>
                  <w:top w:val="single" w:sz="4" w:space="0" w:color="000000"/>
                  <w:left w:val="single" w:sz="4" w:space="0" w:color="000000"/>
                  <w:bottom w:val="single" w:sz="4" w:space="0" w:color="000000"/>
                  <w:right w:val="single" w:sz="4" w:space="0" w:color="000000"/>
                </w:tcBorders>
              </w:tcPr>
              <w:p w14:paraId="5DD5AFFF" w14:textId="77777777" w:rsidR="00F31DD1" w:rsidRDefault="00000000">
                <w:pPr>
                  <w:rPr>
                    <w:rFonts w:ascii="Arial" w:eastAsia="Arial" w:hAnsi="Arial" w:cs="Arial"/>
                    <w:sz w:val="22"/>
                    <w:szCs w:val="22"/>
                  </w:rPr>
                </w:pPr>
                <w:r>
                  <w:rPr>
                    <w:rFonts w:ascii="Arial" w:eastAsia="Arial" w:hAnsi="Arial" w:cs="Arial"/>
                    <w:sz w:val="22"/>
                    <w:szCs w:val="22"/>
                  </w:rPr>
                  <w:lastRenderedPageBreak/>
                  <w:t>Proyecto de Acuerdo 758 de 2025</w:t>
                </w:r>
              </w:p>
            </w:tc>
            <w:tc>
              <w:tcPr>
                <w:tcW w:w="3390" w:type="dxa"/>
                <w:tcBorders>
                  <w:top w:val="single" w:sz="4" w:space="0" w:color="000000"/>
                  <w:left w:val="single" w:sz="4" w:space="0" w:color="000000"/>
                  <w:bottom w:val="single" w:sz="4" w:space="0" w:color="000000"/>
                  <w:right w:val="single" w:sz="4" w:space="0" w:color="000000"/>
                </w:tcBorders>
              </w:tcPr>
              <w:p w14:paraId="69CDABB7" w14:textId="77777777" w:rsidR="00F31DD1" w:rsidRDefault="00000000">
                <w:pPr>
                  <w:jc w:val="both"/>
                  <w:rPr>
                    <w:rFonts w:ascii="Arial" w:eastAsia="Arial" w:hAnsi="Arial" w:cs="Arial"/>
                    <w:sz w:val="22"/>
                    <w:szCs w:val="22"/>
                  </w:rPr>
                </w:pPr>
                <w:r>
                  <w:rPr>
                    <w:rFonts w:ascii="Arial" w:eastAsia="Arial" w:hAnsi="Arial" w:cs="Arial"/>
                    <w:sz w:val="22"/>
                    <w:szCs w:val="22"/>
                  </w:rPr>
                  <w:t>Por medio del cual se dictan lineamientos para diseño, la formulación y elaboración de la política pública de mujeres cabeza de familia u hogares con jefatura femenina en Bogotá y se dictan otras disposiciones</w:t>
                </w:r>
              </w:p>
            </w:tc>
            <w:tc>
              <w:tcPr>
                <w:tcW w:w="3675" w:type="dxa"/>
                <w:tcBorders>
                  <w:top w:val="single" w:sz="4" w:space="0" w:color="000000"/>
                  <w:left w:val="single" w:sz="4" w:space="0" w:color="000000"/>
                  <w:bottom w:val="single" w:sz="4" w:space="0" w:color="000000"/>
                  <w:right w:val="single" w:sz="4" w:space="0" w:color="000000"/>
                </w:tcBorders>
              </w:tcPr>
              <w:p w14:paraId="124182C5" w14:textId="77777777" w:rsidR="00F31DD1" w:rsidRDefault="00000000">
                <w:pPr>
                  <w:jc w:val="both"/>
                  <w:rPr>
                    <w:rFonts w:ascii="Arial" w:eastAsia="Arial" w:hAnsi="Arial" w:cs="Arial"/>
                    <w:sz w:val="22"/>
                    <w:szCs w:val="22"/>
                  </w:rPr>
                </w:pPr>
                <w:r>
                  <w:rPr>
                    <w:rFonts w:ascii="Arial" w:eastAsia="Arial" w:hAnsi="Arial" w:cs="Arial"/>
                    <w:sz w:val="22"/>
                    <w:szCs w:val="22"/>
                  </w:rPr>
                  <w:t>Al momento de presentarse esta ponencia estaba en trámite de ponencias de los Hs. Cs. Samir Bedoya Piraquive (coordinador) y Rubén Darío Torrado Pacheco.</w:t>
                </w:r>
              </w:p>
            </w:tc>
          </w:tr>
          <w:tr w:rsidR="00F31DD1" w14:paraId="79DC943F" w14:textId="77777777">
            <w:tc>
              <w:tcPr>
                <w:tcW w:w="1770" w:type="dxa"/>
                <w:tcBorders>
                  <w:top w:val="single" w:sz="4" w:space="0" w:color="000000"/>
                  <w:left w:val="single" w:sz="4" w:space="0" w:color="000000"/>
                  <w:bottom w:val="single" w:sz="4" w:space="0" w:color="000000"/>
                  <w:right w:val="single" w:sz="4" w:space="0" w:color="000000"/>
                </w:tcBorders>
              </w:tcPr>
              <w:p w14:paraId="6F413349" w14:textId="77777777" w:rsidR="00F31DD1" w:rsidRDefault="00000000">
                <w:pPr>
                  <w:rPr>
                    <w:rFonts w:ascii="Arial" w:eastAsia="Arial" w:hAnsi="Arial" w:cs="Arial"/>
                    <w:sz w:val="22"/>
                    <w:szCs w:val="22"/>
                  </w:rPr>
                </w:pPr>
                <w:r>
                  <w:rPr>
                    <w:rFonts w:ascii="Arial" w:eastAsia="Arial" w:hAnsi="Arial" w:cs="Arial"/>
                    <w:sz w:val="22"/>
                    <w:szCs w:val="22"/>
                  </w:rPr>
                  <w:t xml:space="preserve">Proyecto de Acuerdo 389 de 2025 </w:t>
                </w:r>
              </w:p>
              <w:p w14:paraId="3359660A" w14:textId="77777777" w:rsidR="00F31DD1" w:rsidRDefault="00F31DD1">
                <w:pPr>
                  <w:rPr>
                    <w:rFonts w:ascii="Arial" w:eastAsia="Arial" w:hAnsi="Arial" w:cs="Arial"/>
                    <w:sz w:val="22"/>
                    <w:szCs w:val="22"/>
                  </w:rPr>
                </w:pPr>
              </w:p>
            </w:tc>
            <w:tc>
              <w:tcPr>
                <w:tcW w:w="3390" w:type="dxa"/>
                <w:tcBorders>
                  <w:top w:val="single" w:sz="4" w:space="0" w:color="000000"/>
                  <w:left w:val="single" w:sz="4" w:space="0" w:color="000000"/>
                  <w:bottom w:val="single" w:sz="4" w:space="0" w:color="000000"/>
                  <w:right w:val="single" w:sz="4" w:space="0" w:color="000000"/>
                </w:tcBorders>
              </w:tcPr>
              <w:p w14:paraId="07AC647A" w14:textId="77777777" w:rsidR="00F31DD1" w:rsidRDefault="00000000">
                <w:pPr>
                  <w:jc w:val="both"/>
                  <w:rPr>
                    <w:rFonts w:ascii="Arial" w:eastAsia="Arial" w:hAnsi="Arial" w:cs="Arial"/>
                    <w:sz w:val="22"/>
                    <w:szCs w:val="22"/>
                  </w:rPr>
                </w:pPr>
                <w:r>
                  <w:rPr>
                    <w:rFonts w:ascii="Arial" w:eastAsia="Arial" w:hAnsi="Arial" w:cs="Arial"/>
                    <w:sz w:val="22"/>
                    <w:szCs w:val="22"/>
                  </w:rPr>
                  <w:t>Por medio del cual se dan lineamientos para la construcción del protocolo “Pregunta por Ángela” en establecimientos de comercio, para prevenir la violencia contra las mujeres víctimas de violencia y en riesgo de feminicidio en Bogotá D.C y se dictan otras disposiciones</w:t>
                </w:r>
              </w:p>
            </w:tc>
            <w:tc>
              <w:tcPr>
                <w:tcW w:w="3675" w:type="dxa"/>
                <w:tcBorders>
                  <w:top w:val="single" w:sz="4" w:space="0" w:color="000000"/>
                  <w:left w:val="single" w:sz="4" w:space="0" w:color="000000"/>
                  <w:bottom w:val="single" w:sz="4" w:space="0" w:color="000000"/>
                  <w:right w:val="single" w:sz="4" w:space="0" w:color="000000"/>
                </w:tcBorders>
              </w:tcPr>
              <w:p w14:paraId="7B9763CC" w14:textId="77777777" w:rsidR="00F31DD1" w:rsidRDefault="00000000">
                <w:pPr>
                  <w:jc w:val="both"/>
                  <w:rPr>
                    <w:rFonts w:ascii="Arial" w:eastAsia="Arial" w:hAnsi="Arial" w:cs="Arial"/>
                    <w:sz w:val="22"/>
                    <w:szCs w:val="22"/>
                  </w:rPr>
                </w:pPr>
                <w:r>
                  <w:rPr>
                    <w:rFonts w:ascii="Arial" w:eastAsia="Arial" w:hAnsi="Arial" w:cs="Arial"/>
                    <w:sz w:val="22"/>
                    <w:szCs w:val="22"/>
                  </w:rPr>
                  <w:t>Aprobado en segundo debate, objetado por el Alcalde Mayor; la Plenaria rechazó las objeciones, razón por la que se fue al Tribunal Administrativo para que este  revise las objeciones y, si las encuentra fundadas, el proyecto se archivará; si las considera infundadas, el Alcalde deberá sancionarlo.</w:t>
                </w:r>
              </w:p>
            </w:tc>
          </w:tr>
        </w:tbl>
      </w:sdtContent>
    </w:sdt>
    <w:p w14:paraId="1E3040EE" w14:textId="77777777" w:rsidR="00F31DD1" w:rsidRDefault="00000000">
      <w:pPr>
        <w:jc w:val="both"/>
        <w:rPr>
          <w:rFonts w:ascii="Arial" w:eastAsia="Arial" w:hAnsi="Arial" w:cs="Arial"/>
          <w:b/>
          <w:sz w:val="22"/>
          <w:szCs w:val="22"/>
        </w:rPr>
      </w:pPr>
      <w:r>
        <w:rPr>
          <w:rFonts w:ascii="Arial" w:eastAsia="Arial" w:hAnsi="Arial" w:cs="Arial"/>
          <w:b/>
          <w:sz w:val="22"/>
          <w:szCs w:val="22"/>
        </w:rPr>
        <w:t xml:space="preserve"> </w:t>
      </w:r>
    </w:p>
    <w:p w14:paraId="3C37B0AB" w14:textId="77777777" w:rsidR="00F31DD1" w:rsidRDefault="00F31DD1">
      <w:pPr>
        <w:jc w:val="both"/>
        <w:rPr>
          <w:rFonts w:ascii="Arial" w:eastAsia="Arial" w:hAnsi="Arial" w:cs="Arial"/>
          <w:b/>
          <w:sz w:val="22"/>
          <w:szCs w:val="22"/>
        </w:rPr>
      </w:pPr>
    </w:p>
    <w:p w14:paraId="3F817187" w14:textId="77777777" w:rsidR="00F31DD1" w:rsidRDefault="00000000">
      <w:pPr>
        <w:numPr>
          <w:ilvl w:val="0"/>
          <w:numId w:val="1"/>
        </w:numPr>
        <w:jc w:val="both"/>
        <w:rPr>
          <w:rFonts w:ascii="Arial" w:eastAsia="Arial" w:hAnsi="Arial" w:cs="Arial"/>
          <w:b/>
          <w:sz w:val="22"/>
          <w:szCs w:val="22"/>
        </w:rPr>
      </w:pPr>
      <w:r>
        <w:rPr>
          <w:rFonts w:ascii="Arial" w:eastAsia="Arial" w:hAnsi="Arial" w:cs="Arial"/>
          <w:b/>
          <w:sz w:val="22"/>
          <w:szCs w:val="22"/>
        </w:rPr>
        <w:t>JUSTIFICACIÓN DE LA INICIATIVA</w:t>
      </w:r>
    </w:p>
    <w:p w14:paraId="63ED26FA" w14:textId="77777777" w:rsidR="00F31DD1" w:rsidRDefault="00F31DD1">
      <w:pPr>
        <w:spacing w:line="276" w:lineRule="auto"/>
        <w:jc w:val="both"/>
        <w:rPr>
          <w:rFonts w:ascii="Arial" w:eastAsia="Arial" w:hAnsi="Arial" w:cs="Arial"/>
          <w:b/>
          <w:sz w:val="22"/>
          <w:szCs w:val="22"/>
        </w:rPr>
      </w:pPr>
    </w:p>
    <w:p w14:paraId="1BFD23FB" w14:textId="77777777" w:rsidR="00F31DD1" w:rsidRDefault="00000000">
      <w:pPr>
        <w:spacing w:line="276" w:lineRule="auto"/>
        <w:jc w:val="both"/>
        <w:rPr>
          <w:rFonts w:ascii="Arial" w:eastAsia="Arial" w:hAnsi="Arial" w:cs="Arial"/>
          <w:sz w:val="22"/>
          <w:szCs w:val="22"/>
        </w:rPr>
      </w:pPr>
      <w:r>
        <w:rPr>
          <w:rFonts w:ascii="Arial" w:eastAsia="Arial" w:hAnsi="Arial" w:cs="Arial"/>
          <w:sz w:val="22"/>
          <w:szCs w:val="22"/>
        </w:rPr>
        <w:t xml:space="preserve">Los autores de la iniciativa normativa manifiestan como principal justificación de la misma que se requiere </w:t>
      </w:r>
      <w:r>
        <w:rPr>
          <w:rFonts w:ascii="Arial" w:eastAsia="Arial" w:hAnsi="Arial" w:cs="Arial"/>
          <w:i/>
          <w:sz w:val="22"/>
          <w:szCs w:val="22"/>
        </w:rPr>
        <w:t>“reconocer y abordar las nuevas formas de violencia, como la violencia vicaria, que vulneran gravemente los derechos y la dignidad de las mujeres”</w:t>
      </w:r>
      <w:r>
        <w:rPr>
          <w:rFonts w:ascii="Arial" w:eastAsia="Arial" w:hAnsi="Arial" w:cs="Arial"/>
          <w:sz w:val="22"/>
          <w:szCs w:val="22"/>
        </w:rPr>
        <w:t>.</w:t>
      </w:r>
    </w:p>
    <w:p w14:paraId="595A21E2" w14:textId="77777777" w:rsidR="00F31DD1" w:rsidRDefault="00F31DD1">
      <w:pPr>
        <w:spacing w:line="276" w:lineRule="auto"/>
        <w:jc w:val="both"/>
        <w:rPr>
          <w:rFonts w:ascii="Arial" w:eastAsia="Arial" w:hAnsi="Arial" w:cs="Arial"/>
          <w:sz w:val="22"/>
          <w:szCs w:val="22"/>
        </w:rPr>
      </w:pPr>
    </w:p>
    <w:p w14:paraId="71D2C2CD" w14:textId="77777777" w:rsidR="00F31DD1" w:rsidRDefault="00000000">
      <w:pPr>
        <w:spacing w:line="276" w:lineRule="auto"/>
        <w:jc w:val="both"/>
        <w:rPr>
          <w:rFonts w:ascii="Arial" w:eastAsia="Arial" w:hAnsi="Arial" w:cs="Arial"/>
          <w:sz w:val="22"/>
          <w:szCs w:val="22"/>
        </w:rPr>
      </w:pPr>
      <w:r>
        <w:rPr>
          <w:rFonts w:ascii="Arial" w:eastAsia="Arial" w:hAnsi="Arial" w:cs="Arial"/>
          <w:sz w:val="22"/>
          <w:szCs w:val="22"/>
        </w:rPr>
        <w:t>Lo anterior por cuanto es deber del Estado garantizar “a las mujeres una vida libre de violencia, dignidad humana, derechos fundamentales” y agregan que al hacerlo también se garantizan “los derechos de sus hijos” (P. A. 764 de 2025, p. 5).</w:t>
      </w:r>
    </w:p>
    <w:p w14:paraId="3D881B4C" w14:textId="77777777" w:rsidR="00F31DD1" w:rsidRDefault="00F31DD1">
      <w:pPr>
        <w:spacing w:line="276" w:lineRule="auto"/>
        <w:jc w:val="both"/>
        <w:rPr>
          <w:rFonts w:ascii="Arial" w:eastAsia="Arial" w:hAnsi="Arial" w:cs="Arial"/>
          <w:sz w:val="22"/>
          <w:szCs w:val="22"/>
        </w:rPr>
      </w:pPr>
    </w:p>
    <w:p w14:paraId="298C10F2" w14:textId="77777777" w:rsidR="00F31DD1" w:rsidRDefault="00000000">
      <w:pPr>
        <w:spacing w:line="276" w:lineRule="auto"/>
        <w:jc w:val="both"/>
        <w:rPr>
          <w:rFonts w:ascii="Arial" w:eastAsia="Arial" w:hAnsi="Arial" w:cs="Arial"/>
          <w:sz w:val="22"/>
          <w:szCs w:val="22"/>
        </w:rPr>
      </w:pPr>
      <w:r>
        <w:rPr>
          <w:rFonts w:ascii="Arial" w:eastAsia="Arial" w:hAnsi="Arial" w:cs="Arial"/>
          <w:sz w:val="22"/>
          <w:szCs w:val="22"/>
        </w:rPr>
        <w:t xml:space="preserve">Entre los principales datos que aportan están los correspondientes a la vigencia 2024, del Instituto Nacional de la Salud, que registró un total de 66.621 casos de violencia de género, de los cuales el 75,6% es violencia a mujeres </w:t>
      </w:r>
      <w:r>
        <w:rPr>
          <w:rFonts w:ascii="Arial" w:eastAsia="Arial" w:hAnsi="Arial" w:cs="Arial"/>
          <w:color w:val="434343"/>
          <w:sz w:val="22"/>
          <w:szCs w:val="22"/>
        </w:rPr>
        <w:t xml:space="preserve">que corresponde a </w:t>
      </w:r>
      <w:r>
        <w:rPr>
          <w:rFonts w:ascii="Arial" w:eastAsia="Arial" w:hAnsi="Arial" w:cs="Arial"/>
          <w:sz w:val="22"/>
          <w:szCs w:val="22"/>
        </w:rPr>
        <w:t>50.374 casos.</w:t>
      </w:r>
    </w:p>
    <w:p w14:paraId="7D72E1B0" w14:textId="77777777" w:rsidR="00F31DD1" w:rsidRDefault="00F31DD1">
      <w:pPr>
        <w:spacing w:line="276" w:lineRule="auto"/>
        <w:jc w:val="both"/>
        <w:rPr>
          <w:rFonts w:ascii="Arial" w:eastAsia="Arial" w:hAnsi="Arial" w:cs="Arial"/>
          <w:sz w:val="22"/>
          <w:szCs w:val="22"/>
        </w:rPr>
      </w:pPr>
    </w:p>
    <w:p w14:paraId="3B490B9B" w14:textId="77777777" w:rsidR="00F31DD1" w:rsidRDefault="00000000">
      <w:pPr>
        <w:spacing w:line="276" w:lineRule="auto"/>
        <w:jc w:val="both"/>
        <w:rPr>
          <w:rFonts w:ascii="Arial" w:eastAsia="Arial" w:hAnsi="Arial" w:cs="Arial"/>
          <w:sz w:val="22"/>
          <w:szCs w:val="22"/>
        </w:rPr>
      </w:pPr>
      <w:r>
        <w:rPr>
          <w:rFonts w:ascii="Arial" w:eastAsia="Arial" w:hAnsi="Arial" w:cs="Arial"/>
          <w:sz w:val="22"/>
          <w:szCs w:val="22"/>
        </w:rPr>
        <w:t xml:space="preserve">A lo anterior se suma, según el Instituto Nacional de Salud (INS), citado por los autores, el hecho de que </w:t>
      </w:r>
      <w:r>
        <w:rPr>
          <w:rFonts w:ascii="Arial" w:eastAsia="Arial" w:hAnsi="Arial" w:cs="Arial"/>
          <w:i/>
          <w:sz w:val="22"/>
          <w:szCs w:val="22"/>
        </w:rPr>
        <w:t>“la ciudad en la cual se presentan mayor casos de violencia es en Bogotá, concentrando 14.427 casos</w:t>
      </w:r>
      <w:r>
        <w:rPr>
          <w:rFonts w:ascii="Arial" w:eastAsia="Arial" w:hAnsi="Arial" w:cs="Arial"/>
          <w:i/>
          <w:color w:val="434343"/>
          <w:sz w:val="22"/>
          <w:szCs w:val="22"/>
        </w:rPr>
        <w:t xml:space="preserve"> en el 2024”</w:t>
      </w:r>
      <w:r>
        <w:rPr>
          <w:rFonts w:ascii="Arial" w:eastAsia="Arial" w:hAnsi="Arial" w:cs="Arial"/>
          <w:color w:val="434343"/>
          <w:sz w:val="22"/>
          <w:szCs w:val="22"/>
        </w:rPr>
        <w:t xml:space="preserve"> producto de violencias contra mujeres</w:t>
      </w:r>
      <w:r>
        <w:rPr>
          <w:rFonts w:ascii="Arial" w:eastAsia="Arial" w:hAnsi="Arial" w:cs="Arial"/>
          <w:sz w:val="22"/>
          <w:szCs w:val="22"/>
        </w:rPr>
        <w:t xml:space="preserve"> (P. A. 764 de 2025, p. 5).</w:t>
      </w:r>
    </w:p>
    <w:p w14:paraId="7C4F1E15" w14:textId="77777777" w:rsidR="00F31DD1" w:rsidRDefault="00F31DD1">
      <w:pPr>
        <w:spacing w:line="276" w:lineRule="auto"/>
        <w:jc w:val="both"/>
        <w:rPr>
          <w:rFonts w:ascii="Arial" w:eastAsia="Arial" w:hAnsi="Arial" w:cs="Arial"/>
          <w:sz w:val="22"/>
          <w:szCs w:val="22"/>
        </w:rPr>
      </w:pPr>
    </w:p>
    <w:p w14:paraId="02421799" w14:textId="77777777" w:rsidR="00F31DD1" w:rsidRDefault="00000000">
      <w:pPr>
        <w:spacing w:line="276" w:lineRule="auto"/>
        <w:jc w:val="both"/>
        <w:rPr>
          <w:rFonts w:ascii="Arial" w:eastAsia="Arial" w:hAnsi="Arial" w:cs="Arial"/>
          <w:sz w:val="22"/>
          <w:szCs w:val="22"/>
        </w:rPr>
      </w:pPr>
      <w:r>
        <w:rPr>
          <w:rFonts w:ascii="Arial" w:eastAsia="Arial" w:hAnsi="Arial" w:cs="Arial"/>
          <w:sz w:val="22"/>
          <w:szCs w:val="22"/>
        </w:rPr>
        <w:lastRenderedPageBreak/>
        <w:t>El proyecto también incluye los datos de la Fundación Colombiana Contra la Violencia Vicaria, institución que asegura que</w:t>
      </w:r>
      <w:r>
        <w:rPr>
          <w:rFonts w:ascii="Arial" w:eastAsia="Arial" w:hAnsi="Arial" w:cs="Arial"/>
          <w:i/>
          <w:sz w:val="22"/>
          <w:szCs w:val="22"/>
        </w:rPr>
        <w:t xml:space="preserve"> “entre enero de 2023 y diciembre de 2024 se han reportado 6.189 casos confirmados de este tipo de Violencia Vicaria” </w:t>
      </w:r>
      <w:r>
        <w:rPr>
          <w:rFonts w:ascii="Arial" w:eastAsia="Arial" w:hAnsi="Arial" w:cs="Arial"/>
          <w:sz w:val="22"/>
          <w:szCs w:val="22"/>
        </w:rPr>
        <w:t>(P. A. 764 de 2025, p. 6).</w:t>
      </w:r>
    </w:p>
    <w:p w14:paraId="3C9007BF" w14:textId="77777777" w:rsidR="00F31DD1" w:rsidRDefault="00F31DD1">
      <w:pPr>
        <w:spacing w:line="276" w:lineRule="auto"/>
        <w:jc w:val="both"/>
        <w:rPr>
          <w:rFonts w:ascii="Arial" w:eastAsia="Arial" w:hAnsi="Arial" w:cs="Arial"/>
          <w:sz w:val="22"/>
          <w:szCs w:val="22"/>
        </w:rPr>
      </w:pPr>
    </w:p>
    <w:p w14:paraId="7C8608F2" w14:textId="77777777" w:rsidR="00F31DD1" w:rsidRDefault="00000000">
      <w:pPr>
        <w:spacing w:line="276" w:lineRule="auto"/>
        <w:jc w:val="both"/>
        <w:rPr>
          <w:rFonts w:ascii="Arial" w:eastAsia="Arial" w:hAnsi="Arial" w:cs="Arial"/>
          <w:i/>
          <w:sz w:val="22"/>
          <w:szCs w:val="22"/>
        </w:rPr>
      </w:pPr>
      <w:r>
        <w:rPr>
          <w:rFonts w:ascii="Arial" w:eastAsia="Arial" w:hAnsi="Arial" w:cs="Arial"/>
          <w:sz w:val="22"/>
          <w:szCs w:val="22"/>
        </w:rPr>
        <w:t>Otro elemento clave que justifica la iniciativa es el hecho de que en</w:t>
      </w:r>
      <w:r>
        <w:rPr>
          <w:rFonts w:ascii="Arial" w:eastAsia="Arial" w:hAnsi="Arial" w:cs="Arial"/>
          <w:i/>
          <w:sz w:val="22"/>
          <w:szCs w:val="22"/>
        </w:rPr>
        <w:t xml:space="preserve"> “Bogotá, la categoría jurídica de ‘violencia vicaria’, carece de un desarrollo normativo”</w:t>
      </w:r>
      <w:r>
        <w:rPr>
          <w:rFonts w:ascii="Arial" w:eastAsia="Arial" w:hAnsi="Arial" w:cs="Arial"/>
          <w:sz w:val="22"/>
          <w:szCs w:val="22"/>
        </w:rPr>
        <w:t xml:space="preserve"> (P. A. 764 de 2025, p. 7), lo cual ha propiciado la conformación de lo que los autores denominan </w:t>
      </w:r>
      <w:r>
        <w:rPr>
          <w:rFonts w:ascii="Arial" w:eastAsia="Arial" w:hAnsi="Arial" w:cs="Arial"/>
          <w:i/>
          <w:sz w:val="22"/>
          <w:szCs w:val="22"/>
        </w:rPr>
        <w:t>“una red de corrupción que beneficia a los presuntos abusadores, donde se encuentran: abogados, peritos, psicólogos, comisarios y jueces involucrados”</w:t>
      </w:r>
      <w:r>
        <w:rPr>
          <w:rFonts w:ascii="Arial" w:eastAsia="Arial" w:hAnsi="Arial" w:cs="Arial"/>
          <w:sz w:val="22"/>
          <w:szCs w:val="22"/>
        </w:rPr>
        <w:t xml:space="preserve"> (P. A. 764 de 2025, p. 7), quienes presuntamente utilizan </w:t>
      </w:r>
      <w:r>
        <w:rPr>
          <w:rFonts w:ascii="Arial" w:eastAsia="Arial" w:hAnsi="Arial" w:cs="Arial"/>
          <w:i/>
          <w:sz w:val="22"/>
          <w:szCs w:val="22"/>
        </w:rPr>
        <w:t>“el concepto de ‘Alienación parental’ y con este logran concluir que los niños nunca han sido víctimas de abusos por parte del progenitor”.</w:t>
      </w:r>
    </w:p>
    <w:p w14:paraId="3D122599" w14:textId="77777777" w:rsidR="00F31DD1" w:rsidRDefault="00F31DD1">
      <w:pPr>
        <w:spacing w:line="276" w:lineRule="auto"/>
        <w:jc w:val="both"/>
        <w:rPr>
          <w:rFonts w:ascii="Arial" w:eastAsia="Arial" w:hAnsi="Arial" w:cs="Arial"/>
          <w:sz w:val="22"/>
          <w:szCs w:val="22"/>
        </w:rPr>
      </w:pPr>
    </w:p>
    <w:p w14:paraId="7C3937D1" w14:textId="77777777" w:rsidR="00F31DD1" w:rsidRDefault="00000000">
      <w:pPr>
        <w:spacing w:line="276" w:lineRule="auto"/>
        <w:jc w:val="both"/>
        <w:rPr>
          <w:rFonts w:ascii="Arial" w:eastAsia="Arial" w:hAnsi="Arial" w:cs="Arial"/>
          <w:sz w:val="22"/>
          <w:szCs w:val="22"/>
        </w:rPr>
      </w:pPr>
      <w:r>
        <w:rPr>
          <w:rFonts w:ascii="Arial" w:eastAsia="Arial" w:hAnsi="Arial" w:cs="Arial"/>
          <w:sz w:val="22"/>
          <w:szCs w:val="22"/>
        </w:rPr>
        <w:t>Por todo lo anterior, manifiestan, es necesario</w:t>
      </w:r>
      <w:r>
        <w:rPr>
          <w:rFonts w:ascii="Arial" w:eastAsia="Arial" w:hAnsi="Arial" w:cs="Arial"/>
          <w:i/>
          <w:sz w:val="22"/>
          <w:szCs w:val="22"/>
        </w:rPr>
        <w:t xml:space="preserve"> “fortalecer la capacidad institucional para identificar y actuar frente a la violencia vicaria en Bogotá, especialmente en las Comisarías de Familia y Casas de Justicia”</w:t>
      </w:r>
      <w:r>
        <w:rPr>
          <w:rFonts w:ascii="Arial" w:eastAsia="Arial" w:hAnsi="Arial" w:cs="Arial"/>
          <w:sz w:val="22"/>
          <w:szCs w:val="22"/>
        </w:rPr>
        <w:t xml:space="preserve"> (P. A. 764 de 2025, p. 8). </w:t>
      </w:r>
    </w:p>
    <w:p w14:paraId="3A1F59F1" w14:textId="77777777" w:rsidR="00F31DD1" w:rsidRDefault="00F31DD1">
      <w:pPr>
        <w:spacing w:line="276" w:lineRule="auto"/>
        <w:jc w:val="both"/>
        <w:rPr>
          <w:rFonts w:ascii="Arial" w:eastAsia="Arial" w:hAnsi="Arial" w:cs="Arial"/>
          <w:sz w:val="22"/>
          <w:szCs w:val="22"/>
        </w:rPr>
      </w:pPr>
    </w:p>
    <w:p w14:paraId="5FCA46B2" w14:textId="77777777" w:rsidR="00F31DD1" w:rsidRDefault="00000000">
      <w:pPr>
        <w:spacing w:line="276" w:lineRule="auto"/>
        <w:jc w:val="both"/>
        <w:rPr>
          <w:rFonts w:ascii="Arial" w:eastAsia="Arial" w:hAnsi="Arial" w:cs="Arial"/>
          <w:sz w:val="22"/>
          <w:szCs w:val="22"/>
        </w:rPr>
      </w:pPr>
      <w:r>
        <w:rPr>
          <w:rFonts w:ascii="Arial" w:eastAsia="Arial" w:hAnsi="Arial" w:cs="Arial"/>
          <w:sz w:val="22"/>
          <w:szCs w:val="22"/>
        </w:rPr>
        <w:t xml:space="preserve">Los autores relacionan también referentes internacionales y avances normativos de otras latitudes que demuestran que la violencia vicaria no es un asunto privado, sino una problemática global que exige respuestas concretas de los Estados. La iniciativa se inspira en avances normativos internacionales y en experiencias comparadas, particularmente en el caso de España, donde la Ley Orgánica 1/2004 contra la violencia de género y sus posteriores actualizaciones han reconocido esta práctica como una forma específica y brutal de violencia basada en género. Allí se ha establecido asistencia integral a los hijos e hijas víctimas, con apoyo psicológico especializado, reconociendo el impacto que esta violencia tiene en su desarrollo y bienestar (P. A. 764 de 2025, p. 10). </w:t>
      </w:r>
    </w:p>
    <w:p w14:paraId="6E06F3D4" w14:textId="77777777" w:rsidR="00F31DD1" w:rsidRDefault="00F31DD1">
      <w:pPr>
        <w:spacing w:line="276" w:lineRule="auto"/>
        <w:jc w:val="both"/>
        <w:rPr>
          <w:rFonts w:ascii="Arial" w:eastAsia="Arial" w:hAnsi="Arial" w:cs="Arial"/>
          <w:sz w:val="22"/>
          <w:szCs w:val="22"/>
        </w:rPr>
      </w:pPr>
    </w:p>
    <w:p w14:paraId="1BC4EBB4" w14:textId="77777777" w:rsidR="00F31DD1" w:rsidRDefault="00000000">
      <w:pPr>
        <w:numPr>
          <w:ilvl w:val="0"/>
          <w:numId w:val="1"/>
        </w:numPr>
        <w:jc w:val="both"/>
        <w:rPr>
          <w:rFonts w:ascii="Arial" w:eastAsia="Arial" w:hAnsi="Arial" w:cs="Arial"/>
          <w:b/>
          <w:sz w:val="22"/>
          <w:szCs w:val="22"/>
        </w:rPr>
      </w:pPr>
      <w:bookmarkStart w:id="0" w:name="_heading=h.gjdgxs" w:colFirst="0" w:colLast="0"/>
      <w:bookmarkEnd w:id="0"/>
      <w:r>
        <w:rPr>
          <w:rFonts w:ascii="Arial" w:eastAsia="Arial" w:hAnsi="Arial" w:cs="Arial"/>
          <w:b/>
          <w:sz w:val="22"/>
          <w:szCs w:val="22"/>
        </w:rPr>
        <w:t>SUSTENTO JURÍDICO DE LA INICIATIVA</w:t>
      </w:r>
    </w:p>
    <w:p w14:paraId="6C930A37" w14:textId="77777777" w:rsidR="00F31DD1" w:rsidRDefault="00000000">
      <w:pPr>
        <w:spacing w:before="240" w:after="240" w:line="276" w:lineRule="auto"/>
        <w:jc w:val="both"/>
        <w:rPr>
          <w:rFonts w:ascii="Arial" w:eastAsia="Arial" w:hAnsi="Arial" w:cs="Arial"/>
          <w:sz w:val="22"/>
          <w:szCs w:val="22"/>
        </w:rPr>
      </w:pPr>
      <w:bookmarkStart w:id="1" w:name="_heading=h.d8zv0xpttpzu" w:colFirst="0" w:colLast="0"/>
      <w:bookmarkEnd w:id="1"/>
      <w:r>
        <w:rPr>
          <w:rFonts w:ascii="Arial" w:eastAsia="Arial" w:hAnsi="Arial" w:cs="Arial"/>
          <w:sz w:val="22"/>
          <w:szCs w:val="22"/>
        </w:rPr>
        <w:t>Los autores del proyecto de acuerdo presentan el siguiente marco jurídico que sustenta la iniciativa.</w:t>
      </w:r>
    </w:p>
    <w:p w14:paraId="5FFBD82A" w14:textId="77777777" w:rsidR="00F31DD1" w:rsidRDefault="00000000">
      <w:pPr>
        <w:pStyle w:val="Subttulo"/>
        <w:rPr>
          <w:i w:val="0"/>
          <w:color w:val="000000"/>
        </w:rPr>
      </w:pPr>
      <w:bookmarkStart w:id="2" w:name="_heading=h.qnghr0o1m6um" w:colFirst="0" w:colLast="0"/>
      <w:bookmarkEnd w:id="2"/>
      <w:r>
        <w:rPr>
          <w:i w:val="0"/>
          <w:color w:val="000000"/>
        </w:rPr>
        <w:t>4.1. MARCO CONSTITUCIONAL</w:t>
      </w:r>
    </w:p>
    <w:p w14:paraId="5BA0AA95" w14:textId="77777777" w:rsidR="00F31DD1" w:rsidRDefault="00000000">
      <w:pPr>
        <w:spacing w:before="240" w:after="240" w:line="276" w:lineRule="auto"/>
        <w:jc w:val="both"/>
        <w:rPr>
          <w:rFonts w:ascii="Arial" w:eastAsia="Arial" w:hAnsi="Arial" w:cs="Arial"/>
          <w:sz w:val="22"/>
          <w:szCs w:val="22"/>
        </w:rPr>
      </w:pPr>
      <w:r>
        <w:rPr>
          <w:rFonts w:ascii="Arial" w:eastAsia="Arial" w:hAnsi="Arial" w:cs="Arial"/>
          <w:sz w:val="22"/>
          <w:szCs w:val="22"/>
        </w:rPr>
        <w:t>Constitución Política de Colombia de 1991: En sus artículos 1, 5, 13, 42, 43, 44 y 93 consagra los principios fundamentales de dignidad humana, igualdad, protección de la familia, y garantía de los derechos de la niñez.</w:t>
      </w:r>
    </w:p>
    <w:p w14:paraId="3DBD027A" w14:textId="77777777" w:rsidR="00F31DD1" w:rsidRDefault="00000000">
      <w:pPr>
        <w:pStyle w:val="Subttulo"/>
        <w:rPr>
          <w:i w:val="0"/>
          <w:color w:val="000000"/>
        </w:rPr>
      </w:pPr>
      <w:r>
        <w:rPr>
          <w:i w:val="0"/>
          <w:color w:val="000000"/>
        </w:rPr>
        <w:lastRenderedPageBreak/>
        <w:t>4.2. MARCO LEGAL</w:t>
      </w:r>
    </w:p>
    <w:p w14:paraId="1714CED3" w14:textId="77777777" w:rsidR="00F31DD1" w:rsidRDefault="00000000">
      <w:pPr>
        <w:spacing w:before="240" w:after="240" w:line="276" w:lineRule="auto"/>
        <w:jc w:val="both"/>
        <w:rPr>
          <w:rFonts w:ascii="Arial" w:eastAsia="Arial" w:hAnsi="Arial" w:cs="Arial"/>
          <w:sz w:val="22"/>
          <w:szCs w:val="22"/>
        </w:rPr>
      </w:pPr>
      <w:r>
        <w:rPr>
          <w:rFonts w:ascii="Arial" w:eastAsia="Arial" w:hAnsi="Arial" w:cs="Arial"/>
          <w:sz w:val="22"/>
          <w:szCs w:val="22"/>
        </w:rPr>
        <w:t>Ley 1098 de 2006: establece la prioridad del interés superior del menor y su protección contra toda forma de maltrato, negligencia y violencia.</w:t>
      </w:r>
    </w:p>
    <w:p w14:paraId="144F3997" w14:textId="77777777" w:rsidR="00F31DD1" w:rsidRDefault="00000000">
      <w:pPr>
        <w:spacing w:before="240" w:after="240" w:line="276" w:lineRule="auto"/>
        <w:jc w:val="both"/>
        <w:rPr>
          <w:rFonts w:ascii="Arial" w:eastAsia="Arial" w:hAnsi="Arial" w:cs="Arial"/>
          <w:sz w:val="22"/>
          <w:szCs w:val="22"/>
        </w:rPr>
      </w:pPr>
      <w:r>
        <w:rPr>
          <w:rFonts w:ascii="Arial" w:eastAsia="Arial" w:hAnsi="Arial" w:cs="Arial"/>
          <w:sz w:val="22"/>
          <w:szCs w:val="22"/>
        </w:rPr>
        <w:t>La Ley 1257 de 2008 reconoce y sanciona la violencia contra las mujeres en Colombia. Esta ley establece normas de sensibilización, prevención y sanción de la violencia y discriminación contra las mujeres.</w:t>
      </w:r>
    </w:p>
    <w:p w14:paraId="3E610D87" w14:textId="77777777" w:rsidR="00F31DD1" w:rsidRDefault="00000000">
      <w:pPr>
        <w:spacing w:before="240" w:after="240" w:line="276" w:lineRule="auto"/>
        <w:jc w:val="both"/>
        <w:rPr>
          <w:rFonts w:ascii="Arial" w:eastAsia="Arial" w:hAnsi="Arial" w:cs="Arial"/>
          <w:sz w:val="22"/>
          <w:szCs w:val="22"/>
        </w:rPr>
      </w:pPr>
      <w:r>
        <w:rPr>
          <w:rFonts w:ascii="Arial" w:eastAsia="Arial" w:hAnsi="Arial" w:cs="Arial"/>
          <w:sz w:val="22"/>
          <w:szCs w:val="22"/>
        </w:rPr>
        <w:t>Ley 294 de 1996 y Ley 575 de 2000: sobre la violencia intrafamiliar.</w:t>
      </w:r>
    </w:p>
    <w:p w14:paraId="2C50CC4F" w14:textId="77777777" w:rsidR="00F31DD1" w:rsidRDefault="00000000">
      <w:pPr>
        <w:spacing w:before="240" w:after="240" w:line="276" w:lineRule="auto"/>
        <w:jc w:val="both"/>
        <w:rPr>
          <w:rFonts w:ascii="Arial" w:eastAsia="Arial" w:hAnsi="Arial" w:cs="Arial"/>
          <w:sz w:val="22"/>
          <w:szCs w:val="22"/>
        </w:rPr>
      </w:pPr>
      <w:bookmarkStart w:id="3" w:name="_heading=h.glc8ib94la0" w:colFirst="0" w:colLast="0"/>
      <w:bookmarkEnd w:id="3"/>
      <w:r>
        <w:rPr>
          <w:rFonts w:ascii="Arial" w:eastAsia="Arial" w:hAnsi="Arial" w:cs="Arial"/>
          <w:sz w:val="22"/>
          <w:szCs w:val="22"/>
        </w:rPr>
        <w:t>Ley 1719 de 2014 y Ley 2126 de 2021: fortalecen la respuesta institucional frente a delitos sexuales y violencia contra mujeres.</w:t>
      </w:r>
    </w:p>
    <w:p w14:paraId="32BACB7E" w14:textId="77777777" w:rsidR="00F31DD1" w:rsidRDefault="00000000">
      <w:pPr>
        <w:spacing w:before="240" w:after="240" w:line="276" w:lineRule="auto"/>
        <w:jc w:val="both"/>
        <w:rPr>
          <w:rFonts w:ascii="Arial" w:eastAsia="Arial" w:hAnsi="Arial" w:cs="Arial"/>
          <w:sz w:val="22"/>
          <w:szCs w:val="22"/>
        </w:rPr>
      </w:pPr>
      <w:r>
        <w:rPr>
          <w:rFonts w:ascii="Arial" w:eastAsia="Arial" w:hAnsi="Arial" w:cs="Arial"/>
          <w:sz w:val="22"/>
          <w:szCs w:val="22"/>
        </w:rPr>
        <w:t xml:space="preserve">Ley 1542 de 2012, eliminó el carácter querellable del delito de violencia intrafamiliar, permitiendo que sea investigado de oficio por la Fiscalía General de la Nación. </w:t>
      </w:r>
    </w:p>
    <w:p w14:paraId="431D5D9E" w14:textId="77777777" w:rsidR="00F31DD1" w:rsidRDefault="00000000">
      <w:pPr>
        <w:spacing w:before="240" w:after="240" w:line="276" w:lineRule="auto"/>
        <w:jc w:val="both"/>
        <w:rPr>
          <w:rFonts w:ascii="Arial" w:eastAsia="Arial" w:hAnsi="Arial" w:cs="Arial"/>
          <w:sz w:val="22"/>
          <w:szCs w:val="22"/>
        </w:rPr>
      </w:pPr>
      <w:r>
        <w:rPr>
          <w:rFonts w:ascii="Arial" w:eastAsia="Arial" w:hAnsi="Arial" w:cs="Arial"/>
          <w:sz w:val="22"/>
          <w:szCs w:val="22"/>
        </w:rPr>
        <w:t xml:space="preserve">Ley 1761 de 2015 creó el tipo penal de feminicidio como delito autónomo en Colombia. </w:t>
      </w:r>
    </w:p>
    <w:p w14:paraId="589D3CC1" w14:textId="77777777" w:rsidR="00F31DD1" w:rsidRDefault="00000000">
      <w:pPr>
        <w:pStyle w:val="Subttulo"/>
        <w:ind w:left="720" w:firstLine="0"/>
        <w:rPr>
          <w:i w:val="0"/>
          <w:color w:val="000000"/>
        </w:rPr>
      </w:pPr>
      <w:bookmarkStart w:id="4" w:name="_heading=h.wvcex6mpvahw" w:colFirst="0" w:colLast="0"/>
      <w:bookmarkEnd w:id="4"/>
      <w:r>
        <w:rPr>
          <w:i w:val="0"/>
          <w:color w:val="000000"/>
        </w:rPr>
        <w:t xml:space="preserve">4.3. DECRETOS </w:t>
      </w:r>
    </w:p>
    <w:p w14:paraId="2330A775" w14:textId="77777777" w:rsidR="00F31DD1" w:rsidRDefault="00000000">
      <w:pPr>
        <w:spacing w:before="240" w:after="240" w:line="276" w:lineRule="auto"/>
        <w:jc w:val="both"/>
        <w:rPr>
          <w:rFonts w:ascii="Arial" w:eastAsia="Arial" w:hAnsi="Arial" w:cs="Arial"/>
          <w:sz w:val="22"/>
          <w:szCs w:val="22"/>
        </w:rPr>
      </w:pPr>
      <w:bookmarkStart w:id="5" w:name="_heading=h.6hjq8x2705u" w:colFirst="0" w:colLast="0"/>
      <w:bookmarkEnd w:id="5"/>
      <w:r>
        <w:rPr>
          <w:rFonts w:ascii="Arial" w:eastAsia="Arial" w:hAnsi="Arial" w:cs="Arial"/>
          <w:sz w:val="22"/>
          <w:szCs w:val="22"/>
        </w:rPr>
        <w:t>El Decreto 2733 de 2012, que reglamenta las Comisarías de Familia como órganos fundamentales en la atención de violencia intrafamiliar y en la protección de derechos.</w:t>
      </w:r>
    </w:p>
    <w:p w14:paraId="1C950A33" w14:textId="77777777" w:rsidR="00F31DD1" w:rsidRDefault="00000000">
      <w:pPr>
        <w:spacing w:before="240" w:after="240" w:line="276" w:lineRule="auto"/>
        <w:jc w:val="both"/>
        <w:rPr>
          <w:rFonts w:ascii="Arial" w:eastAsia="Arial" w:hAnsi="Arial" w:cs="Arial"/>
          <w:sz w:val="22"/>
          <w:szCs w:val="22"/>
        </w:rPr>
      </w:pPr>
      <w:bookmarkStart w:id="6" w:name="_heading=h.2j3kia5z07d6" w:colFirst="0" w:colLast="0"/>
      <w:bookmarkEnd w:id="6"/>
      <w:r>
        <w:rPr>
          <w:rFonts w:ascii="Arial" w:eastAsia="Arial" w:hAnsi="Arial" w:cs="Arial"/>
          <w:sz w:val="22"/>
          <w:szCs w:val="22"/>
        </w:rPr>
        <w:t>Decreto 164 de 2010 y Decreto 166 de 2010, por medio de los cuales se reglamentan las funciones de la Secretaría Distrital de la Mujer y se establecen políticas públicas de género.</w:t>
      </w:r>
    </w:p>
    <w:p w14:paraId="1CB50013" w14:textId="77777777" w:rsidR="00F31DD1" w:rsidRDefault="00000000">
      <w:pPr>
        <w:pStyle w:val="Subttulo"/>
        <w:ind w:left="720" w:firstLine="0"/>
        <w:rPr>
          <w:i w:val="0"/>
          <w:color w:val="000000"/>
        </w:rPr>
      </w:pPr>
      <w:bookmarkStart w:id="7" w:name="_heading=h.9nq3fir1wco5" w:colFirst="0" w:colLast="0"/>
      <w:bookmarkEnd w:id="7"/>
      <w:r>
        <w:rPr>
          <w:i w:val="0"/>
          <w:color w:val="000000"/>
        </w:rPr>
        <w:t>4.4. JURISPRUDENCIA</w:t>
      </w:r>
    </w:p>
    <w:p w14:paraId="66D09F8F" w14:textId="77777777" w:rsidR="00F31DD1" w:rsidRDefault="00000000">
      <w:pPr>
        <w:spacing w:before="240" w:after="240" w:line="276" w:lineRule="auto"/>
        <w:jc w:val="both"/>
        <w:rPr>
          <w:rFonts w:ascii="Arial" w:eastAsia="Arial" w:hAnsi="Arial" w:cs="Arial"/>
          <w:sz w:val="22"/>
          <w:szCs w:val="22"/>
        </w:rPr>
      </w:pPr>
      <w:r>
        <w:rPr>
          <w:rFonts w:ascii="Arial" w:eastAsia="Arial" w:hAnsi="Arial" w:cs="Arial"/>
          <w:sz w:val="22"/>
          <w:szCs w:val="22"/>
        </w:rPr>
        <w:t>La Corte Constitucional ha reiterado en múltiples sentencias la importancia del enfoque de género (T-340/10, T-722/14) y el deber del Estado de actuar con diligencia frente a la violencia basada en género, incluyendo sus formas indirectas.</w:t>
      </w:r>
    </w:p>
    <w:p w14:paraId="6C8615CD" w14:textId="77777777" w:rsidR="00F31DD1" w:rsidRDefault="00000000">
      <w:pPr>
        <w:spacing w:before="240" w:after="240" w:line="276" w:lineRule="auto"/>
        <w:jc w:val="both"/>
        <w:rPr>
          <w:rFonts w:ascii="Arial" w:eastAsia="Arial" w:hAnsi="Arial" w:cs="Arial"/>
          <w:sz w:val="22"/>
          <w:szCs w:val="22"/>
        </w:rPr>
      </w:pPr>
      <w:r>
        <w:rPr>
          <w:rFonts w:ascii="Arial" w:eastAsia="Arial" w:hAnsi="Arial" w:cs="Arial"/>
          <w:sz w:val="22"/>
          <w:szCs w:val="22"/>
        </w:rPr>
        <w:t>T-172 del 2023 La Corte Constitucional ha señalado lo siguiente sobre la violencia Vicaria Sentencia T-401 del 2024.</w:t>
      </w:r>
    </w:p>
    <w:p w14:paraId="6EFF460B" w14:textId="77777777" w:rsidR="00F31DD1" w:rsidRDefault="00000000">
      <w:pPr>
        <w:spacing w:before="240" w:after="240" w:line="276" w:lineRule="auto"/>
        <w:jc w:val="both"/>
        <w:rPr>
          <w:rFonts w:ascii="Arial" w:eastAsia="Arial" w:hAnsi="Arial" w:cs="Arial"/>
          <w:sz w:val="22"/>
          <w:szCs w:val="22"/>
        </w:rPr>
      </w:pPr>
      <w:bookmarkStart w:id="8" w:name="_heading=h.teqw8pheyl7b" w:colFirst="0" w:colLast="0"/>
      <w:bookmarkEnd w:id="8"/>
      <w:r>
        <w:rPr>
          <w:rFonts w:ascii="Arial" w:eastAsia="Arial" w:hAnsi="Arial" w:cs="Arial"/>
          <w:sz w:val="22"/>
          <w:szCs w:val="22"/>
        </w:rPr>
        <w:t>Sentencias: T-267 del 2023, T-462 del 2018, T-245a del 2022, T-028 del 2023, T-338 del 2018, SU 080 del 2020, T-221 de 1994, T-027 del 2025, T-526 del 2023, T- 523 de 2023.</w:t>
      </w:r>
    </w:p>
    <w:p w14:paraId="522EF57A" w14:textId="77777777" w:rsidR="00F31DD1" w:rsidRDefault="00000000">
      <w:pPr>
        <w:pStyle w:val="Subttulo"/>
        <w:ind w:left="720" w:firstLine="0"/>
        <w:rPr>
          <w:i w:val="0"/>
          <w:color w:val="000000"/>
        </w:rPr>
      </w:pPr>
      <w:bookmarkStart w:id="9" w:name="_heading=h.if2tqy1hhncg" w:colFirst="0" w:colLast="0"/>
      <w:bookmarkEnd w:id="9"/>
      <w:r>
        <w:rPr>
          <w:i w:val="0"/>
          <w:color w:val="000000"/>
        </w:rPr>
        <w:t>4.5. DISPOSICIONES INTERNACIONALES</w:t>
      </w:r>
    </w:p>
    <w:p w14:paraId="6E8C2F4C" w14:textId="77777777" w:rsidR="00F31DD1" w:rsidRDefault="00000000">
      <w:pPr>
        <w:spacing w:before="240" w:after="240" w:line="276" w:lineRule="auto"/>
        <w:jc w:val="both"/>
        <w:rPr>
          <w:rFonts w:ascii="Arial" w:eastAsia="Arial" w:hAnsi="Arial" w:cs="Arial"/>
          <w:sz w:val="22"/>
          <w:szCs w:val="22"/>
        </w:rPr>
      </w:pPr>
      <w:r>
        <w:rPr>
          <w:rFonts w:ascii="Arial" w:eastAsia="Arial" w:hAnsi="Arial" w:cs="Arial"/>
          <w:sz w:val="22"/>
          <w:szCs w:val="22"/>
        </w:rPr>
        <w:t>A nivel internacional, los siguientes instrumentos respaldan la presente iniciativa:</w:t>
      </w:r>
    </w:p>
    <w:p w14:paraId="12FF589E" w14:textId="77777777" w:rsidR="00F31DD1" w:rsidRDefault="00000000">
      <w:pPr>
        <w:spacing w:before="240" w:after="240" w:line="276" w:lineRule="auto"/>
        <w:jc w:val="both"/>
        <w:rPr>
          <w:rFonts w:ascii="Arial" w:eastAsia="Arial" w:hAnsi="Arial" w:cs="Arial"/>
          <w:b/>
          <w:sz w:val="22"/>
          <w:szCs w:val="22"/>
        </w:rPr>
      </w:pPr>
      <w:r>
        <w:rPr>
          <w:rFonts w:ascii="Arial" w:eastAsia="Arial" w:hAnsi="Arial" w:cs="Arial"/>
          <w:b/>
          <w:sz w:val="22"/>
          <w:szCs w:val="22"/>
        </w:rPr>
        <w:lastRenderedPageBreak/>
        <w:t xml:space="preserve">Convención sobre la Eliminación de Todas las Formas de Discriminación contra la Mujer de 1979 “CEDAW”: </w:t>
      </w:r>
      <w:r>
        <w:rPr>
          <w:rFonts w:ascii="Arial" w:eastAsia="Arial" w:hAnsi="Arial" w:cs="Arial"/>
          <w:sz w:val="22"/>
          <w:szCs w:val="22"/>
          <w:highlight w:val="white"/>
        </w:rPr>
        <w:t>define la discriminación hacia la mujer y establece acciones para su eliminación, como la promoción de cambios estructurales en todos los niveles.</w:t>
      </w:r>
    </w:p>
    <w:p w14:paraId="68F76F5A" w14:textId="77777777" w:rsidR="00F31DD1" w:rsidRDefault="00000000">
      <w:pPr>
        <w:spacing w:before="240" w:after="240" w:line="276" w:lineRule="auto"/>
        <w:jc w:val="both"/>
        <w:rPr>
          <w:rFonts w:ascii="Arial" w:eastAsia="Arial" w:hAnsi="Arial" w:cs="Arial"/>
          <w:sz w:val="22"/>
          <w:szCs w:val="22"/>
        </w:rPr>
      </w:pPr>
      <w:r>
        <w:rPr>
          <w:rFonts w:ascii="Arial" w:eastAsia="Arial" w:hAnsi="Arial" w:cs="Arial"/>
          <w:b/>
          <w:sz w:val="22"/>
          <w:szCs w:val="22"/>
        </w:rPr>
        <w:t>La Convención sobre los Derechos del Niño de 1898</w:t>
      </w:r>
      <w:r>
        <w:rPr>
          <w:rFonts w:ascii="Arial" w:eastAsia="Arial" w:hAnsi="Arial" w:cs="Arial"/>
          <w:sz w:val="22"/>
          <w:szCs w:val="22"/>
        </w:rPr>
        <w:t xml:space="preserve"> La cual establece los derechos que deben hacerse realidad en todas las esferas de la vida de los niños.</w:t>
      </w:r>
    </w:p>
    <w:p w14:paraId="7777B43F" w14:textId="77777777" w:rsidR="00F31DD1" w:rsidRDefault="00000000">
      <w:pPr>
        <w:spacing w:before="240" w:after="240" w:line="276" w:lineRule="auto"/>
        <w:jc w:val="both"/>
        <w:rPr>
          <w:rFonts w:ascii="Arial" w:eastAsia="Arial" w:hAnsi="Arial" w:cs="Arial"/>
          <w:sz w:val="22"/>
          <w:szCs w:val="22"/>
        </w:rPr>
      </w:pPr>
      <w:bookmarkStart w:id="10" w:name="_heading=h.5ekqwhpvaq5b" w:colFirst="0" w:colLast="0"/>
      <w:bookmarkEnd w:id="10"/>
      <w:proofErr w:type="spellStart"/>
      <w:r>
        <w:rPr>
          <w:rFonts w:ascii="Arial" w:eastAsia="Arial" w:hAnsi="Arial" w:cs="Arial"/>
          <w:b/>
          <w:sz w:val="22"/>
          <w:szCs w:val="22"/>
        </w:rPr>
        <w:t>Declaration</w:t>
      </w:r>
      <w:proofErr w:type="spellEnd"/>
      <w:r>
        <w:rPr>
          <w:rFonts w:ascii="Arial" w:eastAsia="Arial" w:hAnsi="Arial" w:cs="Arial"/>
          <w:b/>
          <w:sz w:val="22"/>
          <w:szCs w:val="22"/>
        </w:rPr>
        <w:t xml:space="preserve"> </w:t>
      </w:r>
      <w:proofErr w:type="spellStart"/>
      <w:r>
        <w:rPr>
          <w:rFonts w:ascii="Arial" w:eastAsia="Arial" w:hAnsi="Arial" w:cs="Arial"/>
          <w:b/>
          <w:sz w:val="22"/>
          <w:szCs w:val="22"/>
        </w:rPr>
        <w:t>on</w:t>
      </w:r>
      <w:proofErr w:type="spellEnd"/>
      <w:r>
        <w:rPr>
          <w:rFonts w:ascii="Arial" w:eastAsia="Arial" w:hAnsi="Arial" w:cs="Arial"/>
          <w:b/>
          <w:sz w:val="22"/>
          <w:szCs w:val="22"/>
        </w:rPr>
        <w:t xml:space="preserve"> </w:t>
      </w:r>
      <w:proofErr w:type="spellStart"/>
      <w:r>
        <w:rPr>
          <w:rFonts w:ascii="Arial" w:eastAsia="Arial" w:hAnsi="Arial" w:cs="Arial"/>
          <w:b/>
          <w:sz w:val="22"/>
          <w:szCs w:val="22"/>
        </w:rPr>
        <w:t>the</w:t>
      </w:r>
      <w:proofErr w:type="spellEnd"/>
      <w:r>
        <w:rPr>
          <w:rFonts w:ascii="Arial" w:eastAsia="Arial" w:hAnsi="Arial" w:cs="Arial"/>
          <w:b/>
          <w:sz w:val="22"/>
          <w:szCs w:val="22"/>
        </w:rPr>
        <w:t xml:space="preserve"> </w:t>
      </w:r>
      <w:proofErr w:type="spellStart"/>
      <w:r>
        <w:rPr>
          <w:rFonts w:ascii="Arial" w:eastAsia="Arial" w:hAnsi="Arial" w:cs="Arial"/>
          <w:b/>
          <w:sz w:val="22"/>
          <w:szCs w:val="22"/>
        </w:rPr>
        <w:t>Elimination</w:t>
      </w:r>
      <w:proofErr w:type="spellEnd"/>
      <w:r>
        <w:rPr>
          <w:rFonts w:ascii="Arial" w:eastAsia="Arial" w:hAnsi="Arial" w:cs="Arial"/>
          <w:b/>
          <w:sz w:val="22"/>
          <w:szCs w:val="22"/>
        </w:rPr>
        <w:t xml:space="preserve"> </w:t>
      </w:r>
      <w:proofErr w:type="spellStart"/>
      <w:r>
        <w:rPr>
          <w:rFonts w:ascii="Arial" w:eastAsia="Arial" w:hAnsi="Arial" w:cs="Arial"/>
          <w:b/>
          <w:sz w:val="22"/>
          <w:szCs w:val="22"/>
        </w:rPr>
        <w:t>of</w:t>
      </w:r>
      <w:proofErr w:type="spellEnd"/>
      <w:r>
        <w:rPr>
          <w:rFonts w:ascii="Arial" w:eastAsia="Arial" w:hAnsi="Arial" w:cs="Arial"/>
          <w:b/>
          <w:sz w:val="22"/>
          <w:szCs w:val="22"/>
        </w:rPr>
        <w:t xml:space="preserve"> </w:t>
      </w:r>
      <w:proofErr w:type="spellStart"/>
      <w:r>
        <w:rPr>
          <w:rFonts w:ascii="Arial" w:eastAsia="Arial" w:hAnsi="Arial" w:cs="Arial"/>
          <w:b/>
          <w:sz w:val="22"/>
          <w:szCs w:val="22"/>
        </w:rPr>
        <w:t>Violence</w:t>
      </w:r>
      <w:proofErr w:type="spellEnd"/>
      <w:r>
        <w:rPr>
          <w:rFonts w:ascii="Arial" w:eastAsia="Arial" w:hAnsi="Arial" w:cs="Arial"/>
          <w:b/>
          <w:sz w:val="22"/>
          <w:szCs w:val="22"/>
        </w:rPr>
        <w:t xml:space="preserve"> </w:t>
      </w:r>
      <w:proofErr w:type="spellStart"/>
      <w:r>
        <w:rPr>
          <w:rFonts w:ascii="Arial" w:eastAsia="Arial" w:hAnsi="Arial" w:cs="Arial"/>
          <w:b/>
          <w:sz w:val="22"/>
          <w:szCs w:val="22"/>
        </w:rPr>
        <w:t>against</w:t>
      </w:r>
      <w:proofErr w:type="spellEnd"/>
      <w:r>
        <w:rPr>
          <w:rFonts w:ascii="Arial" w:eastAsia="Arial" w:hAnsi="Arial" w:cs="Arial"/>
          <w:b/>
          <w:sz w:val="22"/>
          <w:szCs w:val="22"/>
        </w:rPr>
        <w:t xml:space="preserve"> </w:t>
      </w:r>
      <w:proofErr w:type="spellStart"/>
      <w:r>
        <w:rPr>
          <w:rFonts w:ascii="Arial" w:eastAsia="Arial" w:hAnsi="Arial" w:cs="Arial"/>
          <w:b/>
          <w:sz w:val="22"/>
          <w:szCs w:val="22"/>
        </w:rPr>
        <w:t>Women</w:t>
      </w:r>
      <w:proofErr w:type="spellEnd"/>
      <w:r>
        <w:rPr>
          <w:rFonts w:ascii="Arial" w:eastAsia="Arial" w:hAnsi="Arial" w:cs="Arial"/>
          <w:b/>
          <w:sz w:val="22"/>
          <w:szCs w:val="22"/>
        </w:rPr>
        <w:t xml:space="preserve"> </w:t>
      </w:r>
      <w:proofErr w:type="spellStart"/>
      <w:r>
        <w:rPr>
          <w:rFonts w:ascii="Arial" w:eastAsia="Arial" w:hAnsi="Arial" w:cs="Arial"/>
          <w:b/>
          <w:sz w:val="22"/>
          <w:szCs w:val="22"/>
        </w:rPr>
        <w:t>Proclaimed</w:t>
      </w:r>
      <w:proofErr w:type="spellEnd"/>
      <w:r>
        <w:rPr>
          <w:rFonts w:ascii="Arial" w:eastAsia="Arial" w:hAnsi="Arial" w:cs="Arial"/>
          <w:b/>
          <w:sz w:val="22"/>
          <w:szCs w:val="22"/>
        </w:rPr>
        <w:t xml:space="preserve"> </w:t>
      </w:r>
      <w:proofErr w:type="spellStart"/>
      <w:r>
        <w:rPr>
          <w:rFonts w:ascii="Arial" w:eastAsia="Arial" w:hAnsi="Arial" w:cs="Arial"/>
          <w:b/>
          <w:sz w:val="22"/>
          <w:szCs w:val="22"/>
        </w:rPr>
        <w:t>by</w:t>
      </w:r>
      <w:proofErr w:type="spellEnd"/>
      <w:r>
        <w:rPr>
          <w:rFonts w:ascii="Arial" w:eastAsia="Arial" w:hAnsi="Arial" w:cs="Arial"/>
          <w:b/>
          <w:sz w:val="22"/>
          <w:szCs w:val="22"/>
        </w:rPr>
        <w:t xml:space="preserve"> General </w:t>
      </w:r>
      <w:proofErr w:type="spellStart"/>
      <w:r>
        <w:rPr>
          <w:rFonts w:ascii="Arial" w:eastAsia="Arial" w:hAnsi="Arial" w:cs="Arial"/>
          <w:b/>
          <w:sz w:val="22"/>
          <w:szCs w:val="22"/>
        </w:rPr>
        <w:t>Assembly</w:t>
      </w:r>
      <w:proofErr w:type="spellEnd"/>
      <w:r>
        <w:rPr>
          <w:rFonts w:ascii="Arial" w:eastAsia="Arial" w:hAnsi="Arial" w:cs="Arial"/>
          <w:b/>
          <w:sz w:val="22"/>
          <w:szCs w:val="22"/>
        </w:rPr>
        <w:t xml:space="preserve"> </w:t>
      </w:r>
      <w:proofErr w:type="spellStart"/>
      <w:r>
        <w:rPr>
          <w:rFonts w:ascii="Arial" w:eastAsia="Arial" w:hAnsi="Arial" w:cs="Arial"/>
          <w:b/>
          <w:sz w:val="22"/>
          <w:szCs w:val="22"/>
        </w:rPr>
        <w:t>resolution</w:t>
      </w:r>
      <w:proofErr w:type="spellEnd"/>
      <w:r>
        <w:rPr>
          <w:rFonts w:ascii="Arial" w:eastAsia="Arial" w:hAnsi="Arial" w:cs="Arial"/>
          <w:b/>
          <w:sz w:val="22"/>
          <w:szCs w:val="22"/>
        </w:rPr>
        <w:t xml:space="preserve"> 48/104 </w:t>
      </w:r>
      <w:proofErr w:type="spellStart"/>
      <w:r>
        <w:rPr>
          <w:rFonts w:ascii="Arial" w:eastAsia="Arial" w:hAnsi="Arial" w:cs="Arial"/>
          <w:b/>
          <w:sz w:val="22"/>
          <w:szCs w:val="22"/>
        </w:rPr>
        <w:t>of</w:t>
      </w:r>
      <w:proofErr w:type="spellEnd"/>
      <w:r>
        <w:rPr>
          <w:rFonts w:ascii="Arial" w:eastAsia="Arial" w:hAnsi="Arial" w:cs="Arial"/>
          <w:b/>
          <w:sz w:val="22"/>
          <w:szCs w:val="22"/>
        </w:rPr>
        <w:t xml:space="preserve"> 20 </w:t>
      </w:r>
      <w:proofErr w:type="spellStart"/>
      <w:r>
        <w:rPr>
          <w:rFonts w:ascii="Arial" w:eastAsia="Arial" w:hAnsi="Arial" w:cs="Arial"/>
          <w:b/>
          <w:sz w:val="22"/>
          <w:szCs w:val="22"/>
        </w:rPr>
        <w:t>December</w:t>
      </w:r>
      <w:proofErr w:type="spellEnd"/>
      <w:r>
        <w:rPr>
          <w:rFonts w:ascii="Arial" w:eastAsia="Arial" w:hAnsi="Arial" w:cs="Arial"/>
          <w:b/>
          <w:sz w:val="22"/>
          <w:szCs w:val="22"/>
        </w:rPr>
        <w:t xml:space="preserve"> 1993</w:t>
      </w:r>
      <w:r>
        <w:rPr>
          <w:rFonts w:ascii="Arial" w:eastAsia="Arial" w:hAnsi="Arial" w:cs="Arial"/>
          <w:sz w:val="22"/>
          <w:szCs w:val="22"/>
        </w:rPr>
        <w:t>: proclama solemnemente la siguiente Declaración sobre la eliminación de la violencia contra la mujer e insta a que se hagan todos los esfuerzos posibles para que sea universalmente conocida y respetada.</w:t>
      </w:r>
    </w:p>
    <w:p w14:paraId="464ACBF3" w14:textId="77777777" w:rsidR="00F31DD1" w:rsidRDefault="00000000">
      <w:pPr>
        <w:spacing w:before="240" w:after="240" w:line="276" w:lineRule="auto"/>
        <w:jc w:val="both"/>
        <w:rPr>
          <w:rFonts w:ascii="Arial" w:eastAsia="Arial" w:hAnsi="Arial" w:cs="Arial"/>
          <w:sz w:val="22"/>
          <w:szCs w:val="22"/>
        </w:rPr>
      </w:pPr>
      <w:bookmarkStart w:id="11" w:name="_heading=h.h67asqgviwvj" w:colFirst="0" w:colLast="0"/>
      <w:bookmarkEnd w:id="11"/>
      <w:r>
        <w:rPr>
          <w:rFonts w:ascii="Arial" w:eastAsia="Arial" w:hAnsi="Arial" w:cs="Arial"/>
          <w:sz w:val="22"/>
          <w:szCs w:val="22"/>
        </w:rPr>
        <w:t xml:space="preserve">La Convención Interamericana para Prevenir, Sancionar y Erradicar la Violencia contra la Mujer </w:t>
      </w:r>
      <w:r>
        <w:rPr>
          <w:rFonts w:ascii="Arial" w:eastAsia="Arial" w:hAnsi="Arial" w:cs="Arial"/>
          <w:b/>
          <w:sz w:val="22"/>
          <w:szCs w:val="22"/>
        </w:rPr>
        <w:t>(Convención de Belém do Pará)</w:t>
      </w:r>
      <w:r>
        <w:rPr>
          <w:rFonts w:ascii="Arial" w:eastAsia="Arial" w:hAnsi="Arial" w:cs="Arial"/>
          <w:sz w:val="22"/>
          <w:szCs w:val="22"/>
        </w:rPr>
        <w:t>. Es</w:t>
      </w:r>
      <w:r>
        <w:rPr>
          <w:rFonts w:ascii="Arial" w:eastAsia="Arial" w:hAnsi="Arial" w:cs="Arial"/>
          <w:sz w:val="22"/>
          <w:szCs w:val="22"/>
          <w:highlight w:val="white"/>
        </w:rPr>
        <w:t xml:space="preserve"> </w:t>
      </w:r>
      <w:r>
        <w:rPr>
          <w:rFonts w:ascii="Arial" w:eastAsia="Arial" w:hAnsi="Arial" w:cs="Arial"/>
          <w:sz w:val="22"/>
          <w:szCs w:val="22"/>
        </w:rPr>
        <w:t>un instrumento fundamental para la protección de los derechos de las mujeres en América Latina y el Caribe, y ha sido fundamental para la creación de leyes y políticas públicas que buscan prevenir, sancionar y erradicar la violencia contra la mujer.</w:t>
      </w:r>
    </w:p>
    <w:p w14:paraId="3E7EF4E1" w14:textId="77777777" w:rsidR="00F31DD1" w:rsidRDefault="00000000">
      <w:pPr>
        <w:pStyle w:val="Subttulo"/>
        <w:rPr>
          <w:i w:val="0"/>
          <w:color w:val="000000"/>
        </w:rPr>
      </w:pPr>
      <w:bookmarkStart w:id="12" w:name="_heading=h.ooyvqtdom7ho" w:colFirst="0" w:colLast="0"/>
      <w:bookmarkEnd w:id="12"/>
      <w:r>
        <w:rPr>
          <w:i w:val="0"/>
          <w:color w:val="000000"/>
        </w:rPr>
        <w:t>4.6. ADICIONES POR PARTE DE LOS PONENTES</w:t>
      </w:r>
    </w:p>
    <w:p w14:paraId="27854025" w14:textId="77777777" w:rsidR="00F31DD1" w:rsidRDefault="00000000">
      <w:pPr>
        <w:jc w:val="both"/>
        <w:rPr>
          <w:rFonts w:ascii="Arial" w:eastAsia="Arial" w:hAnsi="Arial" w:cs="Arial"/>
          <w:b/>
          <w:sz w:val="22"/>
          <w:szCs w:val="22"/>
        </w:rPr>
      </w:pPr>
      <w:r>
        <w:rPr>
          <w:rFonts w:ascii="Arial" w:eastAsia="Arial" w:hAnsi="Arial" w:cs="Arial"/>
          <w:sz w:val="22"/>
          <w:szCs w:val="22"/>
        </w:rPr>
        <w:t>A lo descrito en el proyecto de acuerdo adicionamos, para efectos de esta ponencia:</w:t>
      </w:r>
    </w:p>
    <w:p w14:paraId="3DFA8E34" w14:textId="77777777" w:rsidR="00F31DD1" w:rsidRDefault="00000000">
      <w:pPr>
        <w:widowControl w:val="0"/>
        <w:spacing w:before="280" w:after="80"/>
        <w:jc w:val="both"/>
        <w:rPr>
          <w:rFonts w:ascii="Arial" w:eastAsia="Arial" w:hAnsi="Arial" w:cs="Arial"/>
          <w:b/>
          <w:sz w:val="22"/>
          <w:szCs w:val="22"/>
        </w:rPr>
      </w:pPr>
      <w:bookmarkStart w:id="13" w:name="_heading=h.5liq24vkm8o4" w:colFirst="0" w:colLast="0"/>
      <w:bookmarkEnd w:id="13"/>
      <w:r>
        <w:rPr>
          <w:rFonts w:ascii="Arial" w:eastAsia="Arial" w:hAnsi="Arial" w:cs="Arial"/>
          <w:b/>
          <w:sz w:val="22"/>
          <w:szCs w:val="22"/>
        </w:rPr>
        <w:t>4.6.1 Jurisprudencia</w:t>
      </w:r>
    </w:p>
    <w:p w14:paraId="502E34A9" w14:textId="77777777" w:rsidR="00F31DD1" w:rsidRDefault="00F31DD1">
      <w:pPr>
        <w:widowControl w:val="0"/>
        <w:spacing w:before="280" w:after="80"/>
        <w:jc w:val="both"/>
        <w:rPr>
          <w:rFonts w:ascii="Arial" w:eastAsia="Arial" w:hAnsi="Arial" w:cs="Arial"/>
          <w:b/>
          <w:sz w:val="22"/>
          <w:szCs w:val="22"/>
        </w:rPr>
      </w:pPr>
      <w:bookmarkStart w:id="14" w:name="_heading=h.c001liwnpxe4" w:colFirst="0" w:colLast="0"/>
      <w:bookmarkEnd w:id="14"/>
    </w:p>
    <w:p w14:paraId="17A71415" w14:textId="77777777" w:rsidR="00F31DD1" w:rsidRDefault="00000000">
      <w:pPr>
        <w:ind w:left="566" w:right="912"/>
        <w:jc w:val="both"/>
        <w:rPr>
          <w:rFonts w:ascii="Arial" w:eastAsia="Arial" w:hAnsi="Arial" w:cs="Arial"/>
          <w:b/>
          <w:sz w:val="22"/>
          <w:szCs w:val="22"/>
        </w:rPr>
      </w:pPr>
      <w:r>
        <w:rPr>
          <w:rFonts w:ascii="Arial" w:eastAsia="Arial" w:hAnsi="Arial" w:cs="Arial"/>
          <w:b/>
          <w:sz w:val="22"/>
          <w:szCs w:val="22"/>
        </w:rPr>
        <w:t>SU-080 DE 2020</w:t>
      </w:r>
    </w:p>
    <w:p w14:paraId="7FBA378D" w14:textId="77777777" w:rsidR="00F31DD1" w:rsidRDefault="00F31DD1">
      <w:pPr>
        <w:ind w:left="566" w:right="912"/>
        <w:jc w:val="both"/>
        <w:rPr>
          <w:rFonts w:ascii="Arial" w:eastAsia="Arial" w:hAnsi="Arial" w:cs="Arial"/>
          <w:sz w:val="22"/>
          <w:szCs w:val="22"/>
        </w:rPr>
      </w:pPr>
    </w:p>
    <w:p w14:paraId="25F218D5" w14:textId="77777777" w:rsidR="00F31DD1" w:rsidRDefault="00000000">
      <w:pPr>
        <w:ind w:left="566" w:right="912"/>
        <w:jc w:val="both"/>
        <w:rPr>
          <w:rFonts w:ascii="Arial" w:eastAsia="Arial" w:hAnsi="Arial" w:cs="Arial"/>
          <w:sz w:val="22"/>
          <w:szCs w:val="22"/>
        </w:rPr>
      </w:pPr>
      <w:r>
        <w:rPr>
          <w:rFonts w:ascii="Arial" w:eastAsia="Arial" w:hAnsi="Arial" w:cs="Arial"/>
          <w:sz w:val="22"/>
          <w:szCs w:val="22"/>
        </w:rPr>
        <w:t>Si bien los autores la referencian, no la explican; y esta sentencia es fundamental para el asunto, pues en esta el tribunal unificó su jurisprudencia sobre juzgamiento con perspectiva de género, ordenando medidas integrales de protección y reparación, incluyendo figuras como los “alimentos sancionatorios” en contextos de Violencia Intrafamiliar (VIF). Además, consolidó la idea de que la violencia contra la mujer tiene impactos directos en su entorno familiar, incluidos los hijos e hijas, y que las respuestas judiciales deben ser ágiles y preventivas.</w:t>
      </w:r>
    </w:p>
    <w:p w14:paraId="53AF598D" w14:textId="77777777" w:rsidR="00F31DD1" w:rsidRDefault="00F31DD1">
      <w:pPr>
        <w:ind w:left="566" w:right="912"/>
        <w:jc w:val="both"/>
        <w:rPr>
          <w:rFonts w:ascii="Arial" w:eastAsia="Arial" w:hAnsi="Arial" w:cs="Arial"/>
          <w:sz w:val="22"/>
          <w:szCs w:val="22"/>
        </w:rPr>
      </w:pPr>
    </w:p>
    <w:p w14:paraId="090B5C94" w14:textId="77777777" w:rsidR="00F31DD1" w:rsidRDefault="00000000">
      <w:pPr>
        <w:ind w:left="566" w:right="912"/>
        <w:jc w:val="both"/>
        <w:rPr>
          <w:rFonts w:ascii="Arial" w:eastAsia="Arial" w:hAnsi="Arial" w:cs="Arial"/>
          <w:b/>
          <w:sz w:val="22"/>
          <w:szCs w:val="22"/>
        </w:rPr>
      </w:pPr>
      <w:r>
        <w:rPr>
          <w:rFonts w:ascii="Arial" w:eastAsia="Arial" w:hAnsi="Arial" w:cs="Arial"/>
          <w:b/>
          <w:sz w:val="22"/>
          <w:szCs w:val="22"/>
        </w:rPr>
        <w:t>T-028 DE 2023, T-064 DE 2023 y T-434 DE 2024</w:t>
      </w:r>
    </w:p>
    <w:p w14:paraId="13EB51E4" w14:textId="77777777" w:rsidR="00F31DD1" w:rsidRDefault="00F31DD1">
      <w:pPr>
        <w:ind w:left="566" w:right="912"/>
        <w:jc w:val="both"/>
        <w:rPr>
          <w:rFonts w:ascii="Arial" w:eastAsia="Arial" w:hAnsi="Arial" w:cs="Arial"/>
          <w:sz w:val="22"/>
          <w:szCs w:val="22"/>
        </w:rPr>
      </w:pPr>
    </w:p>
    <w:p w14:paraId="45B14D2D" w14:textId="77777777" w:rsidR="00F31DD1" w:rsidRDefault="00000000">
      <w:pPr>
        <w:ind w:left="566" w:right="912"/>
        <w:jc w:val="both"/>
        <w:rPr>
          <w:rFonts w:ascii="Arial" w:eastAsia="Arial" w:hAnsi="Arial" w:cs="Arial"/>
          <w:sz w:val="22"/>
          <w:szCs w:val="22"/>
        </w:rPr>
      </w:pPr>
      <w:r>
        <w:rPr>
          <w:rFonts w:ascii="Arial" w:eastAsia="Arial" w:hAnsi="Arial" w:cs="Arial"/>
          <w:sz w:val="22"/>
          <w:szCs w:val="22"/>
        </w:rPr>
        <w:t xml:space="preserve">En estas, la Honorable Corte Constitucional reiteró la obligación de aplicar enfoque de género en todas las etapas del proceso, advirtiendo que omitirlo constituye una forma de violencia institucional. </w:t>
      </w:r>
    </w:p>
    <w:p w14:paraId="3DEA9DC6" w14:textId="77777777" w:rsidR="00F31DD1" w:rsidRDefault="00F31DD1">
      <w:pPr>
        <w:ind w:left="566" w:right="912"/>
        <w:jc w:val="both"/>
        <w:rPr>
          <w:rFonts w:ascii="Arial" w:eastAsia="Arial" w:hAnsi="Arial" w:cs="Arial"/>
          <w:sz w:val="22"/>
          <w:szCs w:val="22"/>
        </w:rPr>
      </w:pPr>
    </w:p>
    <w:p w14:paraId="6CB39A61" w14:textId="77777777" w:rsidR="00F31DD1" w:rsidRDefault="00000000">
      <w:pPr>
        <w:ind w:left="566" w:right="912"/>
        <w:jc w:val="both"/>
        <w:rPr>
          <w:rFonts w:ascii="Arial" w:eastAsia="Arial" w:hAnsi="Arial" w:cs="Arial"/>
          <w:sz w:val="22"/>
          <w:szCs w:val="22"/>
        </w:rPr>
      </w:pPr>
      <w:r>
        <w:rPr>
          <w:rFonts w:ascii="Arial" w:eastAsia="Arial" w:hAnsi="Arial" w:cs="Arial"/>
          <w:sz w:val="22"/>
          <w:szCs w:val="22"/>
        </w:rPr>
        <w:t xml:space="preserve">Estas providencias son especialmente relevantes para violencia vicaria, ya que esta se inserta en un patrón de control y agresión hacia la mujer, y la </w:t>
      </w:r>
      <w:r>
        <w:rPr>
          <w:rFonts w:ascii="Arial" w:eastAsia="Arial" w:hAnsi="Arial" w:cs="Arial"/>
          <w:sz w:val="22"/>
          <w:szCs w:val="22"/>
        </w:rPr>
        <w:lastRenderedPageBreak/>
        <w:t>falta de debida diligencia en su atención perpetúa el riesgo para niñas, niños y adolescentes.</w:t>
      </w:r>
    </w:p>
    <w:p w14:paraId="41367931" w14:textId="77777777" w:rsidR="00F31DD1" w:rsidRDefault="00F31DD1">
      <w:pPr>
        <w:ind w:left="566" w:right="912"/>
        <w:jc w:val="both"/>
        <w:rPr>
          <w:rFonts w:ascii="Arial" w:eastAsia="Arial" w:hAnsi="Arial" w:cs="Arial"/>
          <w:b/>
          <w:sz w:val="22"/>
          <w:szCs w:val="22"/>
        </w:rPr>
      </w:pPr>
    </w:p>
    <w:p w14:paraId="61D433AD" w14:textId="77777777" w:rsidR="00F31DD1" w:rsidRDefault="00000000">
      <w:pPr>
        <w:ind w:left="566" w:right="912"/>
        <w:jc w:val="both"/>
        <w:rPr>
          <w:rFonts w:ascii="Arial" w:eastAsia="Arial" w:hAnsi="Arial" w:cs="Arial"/>
          <w:b/>
          <w:sz w:val="22"/>
          <w:szCs w:val="22"/>
        </w:rPr>
      </w:pPr>
      <w:r>
        <w:rPr>
          <w:rFonts w:ascii="Arial" w:eastAsia="Arial" w:hAnsi="Arial" w:cs="Arial"/>
          <w:b/>
          <w:sz w:val="22"/>
          <w:szCs w:val="22"/>
        </w:rPr>
        <w:t>T-526 DE 2023</w:t>
      </w:r>
    </w:p>
    <w:p w14:paraId="24CF5CC0" w14:textId="77777777" w:rsidR="00F31DD1" w:rsidRDefault="00F31DD1">
      <w:pPr>
        <w:ind w:left="566" w:right="912"/>
        <w:jc w:val="both"/>
        <w:rPr>
          <w:rFonts w:ascii="Arial" w:eastAsia="Arial" w:hAnsi="Arial" w:cs="Arial"/>
          <w:sz w:val="22"/>
          <w:szCs w:val="22"/>
        </w:rPr>
      </w:pPr>
    </w:p>
    <w:p w14:paraId="4225F09D" w14:textId="77777777" w:rsidR="00F31DD1" w:rsidRDefault="00000000">
      <w:pPr>
        <w:ind w:left="566" w:right="912"/>
        <w:jc w:val="both"/>
        <w:rPr>
          <w:rFonts w:ascii="Arial" w:eastAsia="Arial" w:hAnsi="Arial" w:cs="Arial"/>
          <w:sz w:val="22"/>
          <w:szCs w:val="22"/>
        </w:rPr>
      </w:pPr>
      <w:r>
        <w:rPr>
          <w:rFonts w:ascii="Arial" w:eastAsia="Arial" w:hAnsi="Arial" w:cs="Arial"/>
          <w:sz w:val="22"/>
          <w:szCs w:val="22"/>
        </w:rPr>
        <w:t xml:space="preserve">En esta la Corte prohibió el uso del “Síndrome de Alienación Parental” (SAP) como criterio probatorio por carecer de respaldo científico y por invisibilizar dinámicas de violencia. </w:t>
      </w:r>
    </w:p>
    <w:p w14:paraId="448CA016" w14:textId="77777777" w:rsidR="00F31DD1" w:rsidRDefault="00F31DD1">
      <w:pPr>
        <w:ind w:left="566" w:right="912"/>
        <w:jc w:val="both"/>
        <w:rPr>
          <w:rFonts w:ascii="Arial" w:eastAsia="Arial" w:hAnsi="Arial" w:cs="Arial"/>
          <w:sz w:val="22"/>
          <w:szCs w:val="22"/>
        </w:rPr>
      </w:pPr>
    </w:p>
    <w:p w14:paraId="61E638CB" w14:textId="77777777" w:rsidR="00F31DD1" w:rsidRDefault="00000000">
      <w:pPr>
        <w:ind w:left="566" w:right="912"/>
        <w:jc w:val="both"/>
        <w:rPr>
          <w:rFonts w:ascii="Arial" w:eastAsia="Arial" w:hAnsi="Arial" w:cs="Arial"/>
          <w:b/>
          <w:sz w:val="22"/>
          <w:szCs w:val="22"/>
        </w:rPr>
      </w:pPr>
      <w:r>
        <w:rPr>
          <w:rFonts w:ascii="Arial" w:eastAsia="Arial" w:hAnsi="Arial" w:cs="Arial"/>
          <w:b/>
          <w:sz w:val="22"/>
          <w:szCs w:val="22"/>
        </w:rPr>
        <w:t>T-181 DE 2023</w:t>
      </w:r>
    </w:p>
    <w:p w14:paraId="581DA48D" w14:textId="77777777" w:rsidR="00F31DD1" w:rsidRDefault="00F31DD1">
      <w:pPr>
        <w:ind w:left="566" w:right="912"/>
        <w:jc w:val="both"/>
        <w:rPr>
          <w:rFonts w:ascii="Arial" w:eastAsia="Arial" w:hAnsi="Arial" w:cs="Arial"/>
          <w:sz w:val="22"/>
          <w:szCs w:val="22"/>
        </w:rPr>
      </w:pPr>
    </w:p>
    <w:p w14:paraId="043EA924" w14:textId="77777777" w:rsidR="00F31DD1" w:rsidRDefault="00000000">
      <w:pPr>
        <w:ind w:left="566" w:right="912"/>
        <w:jc w:val="both"/>
        <w:rPr>
          <w:rFonts w:ascii="Arial" w:eastAsia="Arial" w:hAnsi="Arial" w:cs="Arial"/>
          <w:sz w:val="22"/>
          <w:szCs w:val="22"/>
        </w:rPr>
      </w:pPr>
      <w:r>
        <w:rPr>
          <w:rFonts w:ascii="Arial" w:eastAsia="Arial" w:hAnsi="Arial" w:cs="Arial"/>
          <w:sz w:val="22"/>
          <w:szCs w:val="22"/>
        </w:rPr>
        <w:t>Aquí la Corte complementó la línea trazada en la T-526 de 2023 al establecer que todo alegato de alienación debe evaluarse con base en pruebas objetivas, evitando estereotipos y análisis sesgados que revictimicen a mujeres y sus hijas e hijos. Para cualquier norma sobre violencia vicaria es clave esta línea jurisprudencial, pues demuestra que el ordenamiento colombiano ya ha identificado y descartado teorías que han servido para desacreditar a las madres y minimizar la violencia, lo que abre espacio para reconocer jurídicamente que la instrumentalización de hijas/os es una forma específica de violencia basada en género.</w:t>
      </w:r>
    </w:p>
    <w:p w14:paraId="72EB7D7A" w14:textId="77777777" w:rsidR="00F31DD1" w:rsidRDefault="00F31DD1">
      <w:pPr>
        <w:ind w:left="566" w:right="912"/>
        <w:jc w:val="both"/>
        <w:rPr>
          <w:rFonts w:ascii="Arial" w:eastAsia="Arial" w:hAnsi="Arial" w:cs="Arial"/>
          <w:sz w:val="22"/>
          <w:szCs w:val="22"/>
        </w:rPr>
      </w:pPr>
    </w:p>
    <w:p w14:paraId="4F39A263" w14:textId="77777777" w:rsidR="00F31DD1" w:rsidRDefault="00000000">
      <w:pPr>
        <w:ind w:left="566" w:right="912"/>
        <w:jc w:val="both"/>
        <w:rPr>
          <w:rFonts w:ascii="Arial" w:eastAsia="Arial" w:hAnsi="Arial" w:cs="Arial"/>
          <w:b/>
          <w:sz w:val="22"/>
          <w:szCs w:val="22"/>
        </w:rPr>
      </w:pPr>
      <w:r>
        <w:rPr>
          <w:rFonts w:ascii="Arial" w:eastAsia="Arial" w:hAnsi="Arial" w:cs="Arial"/>
          <w:b/>
          <w:sz w:val="22"/>
          <w:szCs w:val="22"/>
        </w:rPr>
        <w:t>T-510 DE 2003</w:t>
      </w:r>
    </w:p>
    <w:p w14:paraId="71178D8C" w14:textId="77777777" w:rsidR="00F31DD1" w:rsidRDefault="00F31DD1">
      <w:pPr>
        <w:ind w:left="566" w:right="912"/>
        <w:jc w:val="both"/>
        <w:rPr>
          <w:rFonts w:ascii="Arial" w:eastAsia="Arial" w:hAnsi="Arial" w:cs="Arial"/>
          <w:sz w:val="22"/>
          <w:szCs w:val="22"/>
        </w:rPr>
      </w:pPr>
    </w:p>
    <w:p w14:paraId="2F9E2F0B" w14:textId="77777777" w:rsidR="00F31DD1" w:rsidRDefault="00000000">
      <w:pPr>
        <w:ind w:left="566" w:right="912"/>
        <w:jc w:val="both"/>
        <w:rPr>
          <w:rFonts w:ascii="Arial" w:eastAsia="Arial" w:hAnsi="Arial" w:cs="Arial"/>
          <w:sz w:val="22"/>
          <w:szCs w:val="22"/>
        </w:rPr>
      </w:pPr>
      <w:r>
        <w:rPr>
          <w:rFonts w:ascii="Arial" w:eastAsia="Arial" w:hAnsi="Arial" w:cs="Arial"/>
          <w:sz w:val="22"/>
          <w:szCs w:val="22"/>
        </w:rPr>
        <w:t xml:space="preserve">La Corte ha sostenido que el interés superior de la niña o el niño debe guiar toda decisión que les afecte, restringiendo separaciones familiares salvo estricta necesidad y garantizando condiciones de desarrollo integral. </w:t>
      </w:r>
    </w:p>
    <w:p w14:paraId="627F8426" w14:textId="77777777" w:rsidR="00F31DD1" w:rsidRDefault="00F31DD1">
      <w:pPr>
        <w:ind w:left="566" w:right="912"/>
        <w:jc w:val="both"/>
        <w:rPr>
          <w:rFonts w:ascii="Arial" w:eastAsia="Arial" w:hAnsi="Arial" w:cs="Arial"/>
          <w:sz w:val="22"/>
          <w:szCs w:val="22"/>
        </w:rPr>
      </w:pPr>
    </w:p>
    <w:p w14:paraId="50FD86C3" w14:textId="77777777" w:rsidR="00F31DD1" w:rsidRDefault="00000000">
      <w:pPr>
        <w:ind w:left="566" w:right="912"/>
        <w:jc w:val="both"/>
        <w:rPr>
          <w:rFonts w:ascii="Arial" w:eastAsia="Arial" w:hAnsi="Arial" w:cs="Arial"/>
          <w:b/>
          <w:sz w:val="22"/>
          <w:szCs w:val="22"/>
        </w:rPr>
      </w:pPr>
      <w:r>
        <w:rPr>
          <w:rFonts w:ascii="Arial" w:eastAsia="Arial" w:hAnsi="Arial" w:cs="Arial"/>
          <w:b/>
          <w:sz w:val="22"/>
          <w:szCs w:val="22"/>
        </w:rPr>
        <w:t>T-245A DE 2022, T-219 DE 2023, T-261 DE 2024 y T-082 DE 2025</w:t>
      </w:r>
    </w:p>
    <w:p w14:paraId="2927C254" w14:textId="77777777" w:rsidR="00F31DD1" w:rsidRDefault="00F31DD1">
      <w:pPr>
        <w:ind w:left="566" w:right="912"/>
        <w:jc w:val="both"/>
        <w:rPr>
          <w:rFonts w:ascii="Arial" w:eastAsia="Arial" w:hAnsi="Arial" w:cs="Arial"/>
          <w:sz w:val="22"/>
          <w:szCs w:val="22"/>
        </w:rPr>
      </w:pPr>
    </w:p>
    <w:p w14:paraId="7556E209" w14:textId="77777777" w:rsidR="00F31DD1" w:rsidRDefault="00000000">
      <w:pPr>
        <w:ind w:left="566" w:right="912"/>
        <w:jc w:val="both"/>
        <w:rPr>
          <w:rFonts w:ascii="Arial" w:eastAsia="Arial" w:hAnsi="Arial" w:cs="Arial"/>
          <w:sz w:val="22"/>
          <w:szCs w:val="22"/>
        </w:rPr>
      </w:pPr>
      <w:r>
        <w:rPr>
          <w:rFonts w:ascii="Arial" w:eastAsia="Arial" w:hAnsi="Arial" w:cs="Arial"/>
          <w:sz w:val="22"/>
          <w:szCs w:val="22"/>
        </w:rPr>
        <w:t>En estos fallos el alto tribunal ha insistido en el derecho de niñas, niños y adolescentes a ser escuchados en procesos judiciales y administrativos, en contextos de seguridad y bienestar, protegiéndolos de presiones o manipulaciones.</w:t>
      </w:r>
    </w:p>
    <w:p w14:paraId="212A6516" w14:textId="77777777" w:rsidR="00F31DD1" w:rsidRDefault="00F31DD1">
      <w:pPr>
        <w:ind w:left="566" w:right="912"/>
        <w:jc w:val="both"/>
        <w:rPr>
          <w:rFonts w:ascii="Arial" w:eastAsia="Arial" w:hAnsi="Arial" w:cs="Arial"/>
          <w:sz w:val="22"/>
          <w:szCs w:val="22"/>
        </w:rPr>
      </w:pPr>
    </w:p>
    <w:p w14:paraId="7274D388" w14:textId="77777777" w:rsidR="00F31DD1" w:rsidRDefault="00000000">
      <w:pPr>
        <w:ind w:left="566" w:right="912"/>
        <w:jc w:val="both"/>
        <w:rPr>
          <w:rFonts w:ascii="Arial" w:eastAsia="Arial" w:hAnsi="Arial" w:cs="Arial"/>
          <w:b/>
          <w:sz w:val="22"/>
          <w:szCs w:val="22"/>
        </w:rPr>
      </w:pPr>
      <w:r>
        <w:rPr>
          <w:rFonts w:ascii="Arial" w:eastAsia="Arial" w:hAnsi="Arial" w:cs="Arial"/>
          <w:b/>
          <w:sz w:val="22"/>
          <w:szCs w:val="22"/>
        </w:rPr>
        <w:t>T-267 DE 2023, T-130 DE 2024, T-059 DE 2025 y T-027 DE 2025</w:t>
      </w:r>
    </w:p>
    <w:p w14:paraId="06E400BF" w14:textId="77777777" w:rsidR="00F31DD1" w:rsidRDefault="00F31DD1">
      <w:pPr>
        <w:ind w:left="566" w:right="912"/>
        <w:jc w:val="both"/>
        <w:rPr>
          <w:rFonts w:ascii="Arial" w:eastAsia="Arial" w:hAnsi="Arial" w:cs="Arial"/>
          <w:sz w:val="22"/>
          <w:szCs w:val="22"/>
        </w:rPr>
      </w:pPr>
    </w:p>
    <w:p w14:paraId="73FD4812" w14:textId="77777777" w:rsidR="00F31DD1" w:rsidRDefault="00000000">
      <w:pPr>
        <w:ind w:left="566" w:right="912"/>
        <w:jc w:val="both"/>
        <w:rPr>
          <w:rFonts w:ascii="Arial" w:eastAsia="Arial" w:hAnsi="Arial" w:cs="Arial"/>
          <w:sz w:val="22"/>
          <w:szCs w:val="22"/>
        </w:rPr>
      </w:pPr>
      <w:r>
        <w:rPr>
          <w:rFonts w:ascii="Arial" w:eastAsia="Arial" w:hAnsi="Arial" w:cs="Arial"/>
          <w:sz w:val="22"/>
          <w:szCs w:val="22"/>
        </w:rPr>
        <w:t>La Corte ha identificado cómo dilaciones, omisiones o decisiones estereotipadas por parte de autoridades constituyen violencia institucional. Esta noción es directamente aplicable a violencia vicaria, donde la tardanza o negligencia en adoptar medidas cautelares puede prolongar o agravar el daño a niñas, niños, adolescentes y a las mujeres.</w:t>
      </w:r>
    </w:p>
    <w:p w14:paraId="56C2CC94" w14:textId="77777777" w:rsidR="00F31DD1" w:rsidRDefault="00F31DD1">
      <w:pPr>
        <w:ind w:left="566" w:right="912"/>
        <w:jc w:val="both"/>
        <w:rPr>
          <w:rFonts w:ascii="Arial" w:eastAsia="Arial" w:hAnsi="Arial" w:cs="Arial"/>
          <w:sz w:val="22"/>
          <w:szCs w:val="22"/>
        </w:rPr>
      </w:pPr>
    </w:p>
    <w:p w14:paraId="0A2F354B" w14:textId="77777777" w:rsidR="00F31DD1" w:rsidRDefault="00000000">
      <w:pPr>
        <w:ind w:left="566" w:right="912"/>
        <w:jc w:val="both"/>
        <w:rPr>
          <w:rFonts w:ascii="Arial" w:eastAsia="Arial" w:hAnsi="Arial" w:cs="Arial"/>
          <w:sz w:val="22"/>
          <w:szCs w:val="22"/>
        </w:rPr>
      </w:pPr>
      <w:r>
        <w:rPr>
          <w:rFonts w:ascii="Arial" w:eastAsia="Arial" w:hAnsi="Arial" w:cs="Arial"/>
          <w:b/>
          <w:sz w:val="22"/>
          <w:szCs w:val="22"/>
        </w:rPr>
        <w:t>PT-401 DE 2024 y C-039 DE 2025</w:t>
      </w:r>
      <w:r>
        <w:rPr>
          <w:rFonts w:ascii="Arial" w:eastAsia="Arial" w:hAnsi="Arial" w:cs="Arial"/>
          <w:sz w:val="22"/>
          <w:szCs w:val="22"/>
        </w:rPr>
        <w:t xml:space="preserve"> </w:t>
      </w:r>
    </w:p>
    <w:p w14:paraId="501C2475" w14:textId="77777777" w:rsidR="00F31DD1" w:rsidRDefault="00F31DD1">
      <w:pPr>
        <w:ind w:left="566" w:right="912"/>
        <w:jc w:val="both"/>
        <w:rPr>
          <w:rFonts w:ascii="Arial" w:eastAsia="Arial" w:hAnsi="Arial" w:cs="Arial"/>
          <w:sz w:val="22"/>
          <w:szCs w:val="22"/>
        </w:rPr>
      </w:pPr>
    </w:p>
    <w:p w14:paraId="62AF8EC5" w14:textId="77777777" w:rsidR="00F31DD1" w:rsidRDefault="00000000">
      <w:pPr>
        <w:ind w:left="566" w:right="912"/>
        <w:jc w:val="both"/>
        <w:rPr>
          <w:rFonts w:ascii="Arial" w:eastAsia="Arial" w:hAnsi="Arial" w:cs="Arial"/>
          <w:sz w:val="22"/>
          <w:szCs w:val="22"/>
        </w:rPr>
      </w:pPr>
      <w:r>
        <w:rPr>
          <w:rFonts w:ascii="Arial" w:eastAsia="Arial" w:hAnsi="Arial" w:cs="Arial"/>
          <w:sz w:val="22"/>
          <w:szCs w:val="22"/>
        </w:rPr>
        <w:t xml:space="preserve">Ambos fallos refuerzan la </w:t>
      </w:r>
      <w:proofErr w:type="spellStart"/>
      <w:r>
        <w:rPr>
          <w:rFonts w:ascii="Arial" w:eastAsia="Arial" w:hAnsi="Arial" w:cs="Arial"/>
          <w:sz w:val="22"/>
          <w:szCs w:val="22"/>
        </w:rPr>
        <w:t>linea</w:t>
      </w:r>
      <w:proofErr w:type="spellEnd"/>
      <w:r>
        <w:rPr>
          <w:rFonts w:ascii="Arial" w:eastAsia="Arial" w:hAnsi="Arial" w:cs="Arial"/>
          <w:sz w:val="22"/>
          <w:szCs w:val="22"/>
        </w:rPr>
        <w:t xml:space="preserve"> jurisprudencial con relación a que las autoridades de familia y las políticas públicas deben garantizar acceso </w:t>
      </w:r>
      <w:r>
        <w:rPr>
          <w:rFonts w:ascii="Arial" w:eastAsia="Arial" w:hAnsi="Arial" w:cs="Arial"/>
          <w:sz w:val="22"/>
          <w:szCs w:val="22"/>
        </w:rPr>
        <w:lastRenderedPageBreak/>
        <w:t>efectivo a la justicia, no discriminación y respeto por el interés superior de la niñez. Estos precedentes obligan a que cualquier propuesta normativa sobre violencia vicaria establezca plazos perentorios y protocolos claros de actuación interinstitucional.</w:t>
      </w:r>
    </w:p>
    <w:p w14:paraId="0404F57C" w14:textId="77777777" w:rsidR="00F31DD1" w:rsidRDefault="00F31DD1">
      <w:pPr>
        <w:rPr>
          <w:rFonts w:ascii="Arial" w:eastAsia="Arial" w:hAnsi="Arial" w:cs="Arial"/>
          <w:sz w:val="22"/>
          <w:szCs w:val="22"/>
        </w:rPr>
      </w:pPr>
    </w:p>
    <w:p w14:paraId="4D4A4853" w14:textId="77777777" w:rsidR="00F31DD1" w:rsidRDefault="00000000">
      <w:pPr>
        <w:jc w:val="both"/>
        <w:rPr>
          <w:rFonts w:ascii="Arial" w:eastAsia="Arial" w:hAnsi="Arial" w:cs="Arial"/>
          <w:b/>
          <w:sz w:val="22"/>
          <w:szCs w:val="22"/>
        </w:rPr>
      </w:pPr>
      <w:bookmarkStart w:id="15" w:name="_heading=h.5zla4iwnumms" w:colFirst="0" w:colLast="0"/>
      <w:bookmarkEnd w:id="15"/>
      <w:r>
        <w:rPr>
          <w:rFonts w:ascii="Arial" w:eastAsia="Arial" w:hAnsi="Arial" w:cs="Arial"/>
          <w:sz w:val="22"/>
          <w:szCs w:val="22"/>
        </w:rPr>
        <w:t xml:space="preserve">Para efectos de definir competencias y responsabilidades en desarrollo de la iniciativa normativa, una vez nazca a la vida jurídica, es pertinente dentro de los referentes normativos mencionar las siguientes de </w:t>
      </w:r>
      <w:r>
        <w:rPr>
          <w:rFonts w:ascii="Arial" w:eastAsia="Arial" w:hAnsi="Arial" w:cs="Arial"/>
          <w:b/>
          <w:sz w:val="22"/>
          <w:szCs w:val="22"/>
        </w:rPr>
        <w:t>Orden Distrital</w:t>
      </w:r>
      <w:r>
        <w:rPr>
          <w:rFonts w:ascii="Arial" w:eastAsia="Arial" w:hAnsi="Arial" w:cs="Arial"/>
          <w:sz w:val="22"/>
          <w:szCs w:val="22"/>
        </w:rPr>
        <w:t>.</w:t>
      </w:r>
    </w:p>
    <w:p w14:paraId="35C56D6C" w14:textId="77777777" w:rsidR="00F31DD1" w:rsidRDefault="00000000">
      <w:pPr>
        <w:widowControl w:val="0"/>
        <w:spacing w:before="280" w:after="80"/>
        <w:jc w:val="both"/>
        <w:rPr>
          <w:rFonts w:ascii="Arial" w:eastAsia="Arial" w:hAnsi="Arial" w:cs="Arial"/>
          <w:b/>
          <w:sz w:val="22"/>
          <w:szCs w:val="22"/>
        </w:rPr>
      </w:pPr>
      <w:bookmarkStart w:id="16" w:name="_heading=h.6cg5kmreopkx" w:colFirst="0" w:colLast="0"/>
      <w:bookmarkEnd w:id="16"/>
      <w:r>
        <w:rPr>
          <w:rFonts w:ascii="Arial" w:eastAsia="Arial" w:hAnsi="Arial" w:cs="Arial"/>
          <w:b/>
          <w:sz w:val="22"/>
          <w:szCs w:val="22"/>
        </w:rPr>
        <w:t>4.6.2 Normatividad Distrital</w:t>
      </w:r>
    </w:p>
    <w:p w14:paraId="720396D5" w14:textId="77777777" w:rsidR="00F31DD1" w:rsidRDefault="00F31DD1">
      <w:pPr>
        <w:jc w:val="both"/>
        <w:rPr>
          <w:rFonts w:ascii="Arial" w:eastAsia="Arial" w:hAnsi="Arial" w:cs="Arial"/>
          <w:b/>
          <w:sz w:val="22"/>
          <w:szCs w:val="22"/>
        </w:rPr>
      </w:pPr>
      <w:bookmarkStart w:id="17" w:name="_heading=h.tkmxko489ogr" w:colFirst="0" w:colLast="0"/>
      <w:bookmarkEnd w:id="17"/>
    </w:p>
    <w:p w14:paraId="0EBE57FA" w14:textId="77777777" w:rsidR="00F31DD1" w:rsidRDefault="00000000">
      <w:pPr>
        <w:jc w:val="both"/>
        <w:rPr>
          <w:rFonts w:ascii="Arial" w:eastAsia="Arial" w:hAnsi="Arial" w:cs="Arial"/>
          <w:b/>
          <w:sz w:val="22"/>
          <w:szCs w:val="22"/>
        </w:rPr>
      </w:pPr>
      <w:r>
        <w:rPr>
          <w:rFonts w:ascii="Arial" w:eastAsia="Arial" w:hAnsi="Arial" w:cs="Arial"/>
          <w:b/>
          <w:sz w:val="22"/>
          <w:szCs w:val="22"/>
        </w:rPr>
        <w:t>ACUERDO 927 DE 2024 - PLAN DISTRITAL DE DESARROLLO ‘BOGOTÁ CAMINA SEGURA’ 2024-2027</w:t>
      </w:r>
    </w:p>
    <w:p w14:paraId="3741C931" w14:textId="77777777" w:rsidR="00F31DD1" w:rsidRDefault="00F31DD1">
      <w:pPr>
        <w:jc w:val="both"/>
        <w:rPr>
          <w:rFonts w:ascii="Arial" w:eastAsia="Arial" w:hAnsi="Arial" w:cs="Arial"/>
          <w:sz w:val="22"/>
          <w:szCs w:val="22"/>
        </w:rPr>
      </w:pPr>
    </w:p>
    <w:p w14:paraId="71D03F8E" w14:textId="77777777" w:rsidR="00F31DD1" w:rsidRDefault="00000000">
      <w:pPr>
        <w:jc w:val="both"/>
        <w:rPr>
          <w:rFonts w:ascii="Arial" w:eastAsia="Arial" w:hAnsi="Arial" w:cs="Arial"/>
          <w:sz w:val="22"/>
          <w:szCs w:val="22"/>
        </w:rPr>
      </w:pPr>
      <w:r>
        <w:rPr>
          <w:rFonts w:ascii="Arial" w:eastAsia="Arial" w:hAnsi="Arial" w:cs="Arial"/>
          <w:sz w:val="22"/>
          <w:szCs w:val="22"/>
        </w:rPr>
        <w:t>Al revisar las metas pactadas en Plan Distrital de Desarrollo “Bogotá Camina Segura” (Acuerdo 927 de 2024), se encuentran unas que se relacionan directa o indirectamente con la violencia vicaria (uso de hijas/os u otros vínculos para dañar a la madre/cuidadora), por su foco en VBG, VIF, protección de NNA y fortalecimiento de comisarías/rutas:</w:t>
      </w:r>
    </w:p>
    <w:p w14:paraId="5D2313DC" w14:textId="77777777" w:rsidR="00F31DD1" w:rsidRDefault="00F31DD1">
      <w:pPr>
        <w:jc w:val="both"/>
        <w:rPr>
          <w:rFonts w:ascii="Arial" w:eastAsia="Arial" w:hAnsi="Arial" w:cs="Arial"/>
          <w:sz w:val="22"/>
          <w:szCs w:val="22"/>
        </w:rPr>
      </w:pPr>
    </w:p>
    <w:tbl>
      <w:tblPr>
        <w:tblStyle w:val="aa"/>
        <w:tblW w:w="8838"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2231"/>
        <w:gridCol w:w="2232"/>
        <w:gridCol w:w="2277"/>
        <w:gridCol w:w="2098"/>
      </w:tblGrid>
      <w:tr w:rsidR="00F31DD1" w14:paraId="460AA7E2" w14:textId="77777777">
        <w:trPr>
          <w:trHeight w:val="585"/>
        </w:trPr>
        <w:tc>
          <w:tcPr>
            <w:tcW w:w="2231"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25BDC0B5" w14:textId="77777777" w:rsidR="00F31DD1" w:rsidRDefault="00000000">
            <w:pPr>
              <w:spacing w:before="240" w:line="276" w:lineRule="auto"/>
              <w:jc w:val="center"/>
              <w:rPr>
                <w:rFonts w:ascii="Arial" w:eastAsia="Arial" w:hAnsi="Arial" w:cs="Arial"/>
                <w:b/>
                <w:sz w:val="22"/>
                <w:szCs w:val="22"/>
              </w:rPr>
            </w:pPr>
            <w:r>
              <w:rPr>
                <w:rFonts w:ascii="Arial" w:eastAsia="Arial" w:hAnsi="Arial" w:cs="Arial"/>
                <w:b/>
                <w:sz w:val="22"/>
                <w:szCs w:val="22"/>
              </w:rPr>
              <w:t>Meta del PDD</w:t>
            </w:r>
          </w:p>
        </w:tc>
        <w:tc>
          <w:tcPr>
            <w:tcW w:w="2231"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7B9694CD" w14:textId="77777777" w:rsidR="00F31DD1" w:rsidRDefault="00000000">
            <w:pPr>
              <w:spacing w:before="240" w:line="276" w:lineRule="auto"/>
              <w:jc w:val="center"/>
              <w:rPr>
                <w:rFonts w:ascii="Arial" w:eastAsia="Arial" w:hAnsi="Arial" w:cs="Arial"/>
                <w:b/>
                <w:sz w:val="22"/>
                <w:szCs w:val="22"/>
              </w:rPr>
            </w:pPr>
            <w:r>
              <w:rPr>
                <w:rFonts w:ascii="Arial" w:eastAsia="Arial" w:hAnsi="Arial" w:cs="Arial"/>
                <w:b/>
                <w:sz w:val="22"/>
                <w:szCs w:val="22"/>
              </w:rPr>
              <w:t>Indicador</w:t>
            </w:r>
          </w:p>
        </w:tc>
        <w:tc>
          <w:tcPr>
            <w:tcW w:w="2276"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5AD76D63" w14:textId="77777777" w:rsidR="00F31DD1" w:rsidRDefault="00000000">
            <w:pPr>
              <w:spacing w:before="240" w:line="276" w:lineRule="auto"/>
              <w:jc w:val="center"/>
              <w:rPr>
                <w:rFonts w:ascii="Arial" w:eastAsia="Arial" w:hAnsi="Arial" w:cs="Arial"/>
                <w:b/>
                <w:sz w:val="22"/>
                <w:szCs w:val="22"/>
              </w:rPr>
            </w:pPr>
            <w:r>
              <w:rPr>
                <w:rFonts w:ascii="Arial" w:eastAsia="Arial" w:hAnsi="Arial" w:cs="Arial"/>
                <w:b/>
                <w:sz w:val="22"/>
                <w:szCs w:val="22"/>
              </w:rPr>
              <w:t>Relación con violencia vicaria</w:t>
            </w:r>
          </w:p>
        </w:tc>
        <w:tc>
          <w:tcPr>
            <w:tcW w:w="2097"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158C64FB" w14:textId="77777777" w:rsidR="00F31DD1" w:rsidRDefault="00000000">
            <w:pPr>
              <w:spacing w:before="240" w:line="276" w:lineRule="auto"/>
              <w:jc w:val="center"/>
              <w:rPr>
                <w:rFonts w:ascii="Arial" w:eastAsia="Arial" w:hAnsi="Arial" w:cs="Arial"/>
                <w:b/>
                <w:sz w:val="22"/>
                <w:szCs w:val="22"/>
              </w:rPr>
            </w:pPr>
            <w:r>
              <w:rPr>
                <w:rFonts w:ascii="Arial" w:eastAsia="Arial" w:hAnsi="Arial" w:cs="Arial"/>
                <w:b/>
                <w:sz w:val="22"/>
                <w:szCs w:val="22"/>
              </w:rPr>
              <w:t>Entidad responsable</w:t>
            </w:r>
          </w:p>
        </w:tc>
      </w:tr>
      <w:tr w:rsidR="00F31DD1" w14:paraId="032DBE71" w14:textId="77777777">
        <w:trPr>
          <w:trHeight w:val="1725"/>
        </w:trPr>
        <w:tc>
          <w:tcPr>
            <w:tcW w:w="2231"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21D75382" w14:textId="77777777" w:rsidR="00F31DD1" w:rsidRDefault="00000000">
            <w:pPr>
              <w:spacing w:before="240" w:line="276" w:lineRule="auto"/>
              <w:jc w:val="both"/>
              <w:rPr>
                <w:rFonts w:ascii="Arial" w:eastAsia="Arial" w:hAnsi="Arial" w:cs="Arial"/>
                <w:sz w:val="22"/>
                <w:szCs w:val="22"/>
              </w:rPr>
            </w:pPr>
            <w:r>
              <w:rPr>
                <w:rFonts w:ascii="Arial" w:eastAsia="Arial" w:hAnsi="Arial" w:cs="Arial"/>
                <w:sz w:val="22"/>
                <w:szCs w:val="22"/>
              </w:rPr>
              <w:t>Operar 6 Casas Refugio con enfoque diferencial</w:t>
            </w:r>
          </w:p>
        </w:tc>
        <w:tc>
          <w:tcPr>
            <w:tcW w:w="2231" w:type="dxa"/>
            <w:tcBorders>
              <w:top w:val="nil"/>
              <w:left w:val="nil"/>
              <w:bottom w:val="single" w:sz="5" w:space="0" w:color="000000"/>
              <w:right w:val="single" w:sz="5" w:space="0" w:color="000000"/>
            </w:tcBorders>
            <w:tcMar>
              <w:top w:w="0" w:type="dxa"/>
              <w:left w:w="100" w:type="dxa"/>
              <w:bottom w:w="0" w:type="dxa"/>
              <w:right w:w="100" w:type="dxa"/>
            </w:tcMar>
          </w:tcPr>
          <w:p w14:paraId="5CAB63DD" w14:textId="77777777" w:rsidR="00F31DD1" w:rsidRDefault="00000000">
            <w:pPr>
              <w:spacing w:before="240" w:line="276" w:lineRule="auto"/>
              <w:jc w:val="both"/>
              <w:rPr>
                <w:rFonts w:ascii="Arial" w:eastAsia="Arial" w:hAnsi="Arial" w:cs="Arial"/>
                <w:sz w:val="22"/>
                <w:szCs w:val="22"/>
              </w:rPr>
            </w:pPr>
            <w:r>
              <w:rPr>
                <w:rFonts w:ascii="Arial" w:eastAsia="Arial" w:hAnsi="Arial" w:cs="Arial"/>
                <w:sz w:val="22"/>
                <w:szCs w:val="22"/>
              </w:rPr>
              <w:t>Número de Casas Refugio en operación</w:t>
            </w:r>
          </w:p>
        </w:tc>
        <w:tc>
          <w:tcPr>
            <w:tcW w:w="2276" w:type="dxa"/>
            <w:tcBorders>
              <w:top w:val="nil"/>
              <w:left w:val="nil"/>
              <w:bottom w:val="single" w:sz="5" w:space="0" w:color="000000"/>
              <w:right w:val="single" w:sz="5" w:space="0" w:color="000000"/>
            </w:tcBorders>
            <w:tcMar>
              <w:top w:w="0" w:type="dxa"/>
              <w:left w:w="100" w:type="dxa"/>
              <w:bottom w:w="0" w:type="dxa"/>
              <w:right w:w="100" w:type="dxa"/>
            </w:tcMar>
          </w:tcPr>
          <w:p w14:paraId="3622F39F" w14:textId="77777777" w:rsidR="00F31DD1" w:rsidRDefault="00000000">
            <w:pPr>
              <w:spacing w:before="240" w:line="276" w:lineRule="auto"/>
              <w:jc w:val="both"/>
              <w:rPr>
                <w:rFonts w:ascii="Arial" w:eastAsia="Arial" w:hAnsi="Arial" w:cs="Arial"/>
                <w:sz w:val="22"/>
                <w:szCs w:val="22"/>
              </w:rPr>
            </w:pPr>
            <w:r>
              <w:rPr>
                <w:rFonts w:ascii="Arial" w:eastAsia="Arial" w:hAnsi="Arial" w:cs="Arial"/>
                <w:sz w:val="22"/>
                <w:szCs w:val="22"/>
              </w:rPr>
              <w:t>Las casas refugio protegen a mujeres y sus hijas/os frente a agresores, incluyendo casos de violencia vicaria.</w:t>
            </w:r>
          </w:p>
        </w:tc>
        <w:tc>
          <w:tcPr>
            <w:tcW w:w="2097" w:type="dxa"/>
            <w:tcBorders>
              <w:top w:val="nil"/>
              <w:left w:val="nil"/>
              <w:bottom w:val="single" w:sz="5" w:space="0" w:color="000000"/>
              <w:right w:val="single" w:sz="5" w:space="0" w:color="000000"/>
            </w:tcBorders>
            <w:tcMar>
              <w:top w:w="0" w:type="dxa"/>
              <w:left w:w="100" w:type="dxa"/>
              <w:bottom w:w="0" w:type="dxa"/>
              <w:right w:w="100" w:type="dxa"/>
            </w:tcMar>
          </w:tcPr>
          <w:p w14:paraId="75E8E889" w14:textId="77777777" w:rsidR="00F31DD1" w:rsidRDefault="00000000">
            <w:pPr>
              <w:spacing w:before="240" w:line="276" w:lineRule="auto"/>
              <w:jc w:val="both"/>
              <w:rPr>
                <w:rFonts w:ascii="Arial" w:eastAsia="Arial" w:hAnsi="Arial" w:cs="Arial"/>
                <w:sz w:val="22"/>
                <w:szCs w:val="22"/>
              </w:rPr>
            </w:pPr>
            <w:r>
              <w:rPr>
                <w:rFonts w:ascii="Arial" w:eastAsia="Arial" w:hAnsi="Arial" w:cs="Arial"/>
                <w:sz w:val="22"/>
                <w:szCs w:val="22"/>
              </w:rPr>
              <w:t>Secretaría Distrital de la Mujer</w:t>
            </w:r>
          </w:p>
        </w:tc>
      </w:tr>
      <w:tr w:rsidR="00F31DD1" w14:paraId="118D2509" w14:textId="77777777">
        <w:trPr>
          <w:trHeight w:val="1440"/>
        </w:trPr>
        <w:tc>
          <w:tcPr>
            <w:tcW w:w="2231"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0CEFB378" w14:textId="77777777" w:rsidR="00F31DD1" w:rsidRDefault="00000000">
            <w:pPr>
              <w:spacing w:before="240" w:line="276" w:lineRule="auto"/>
              <w:jc w:val="both"/>
              <w:rPr>
                <w:rFonts w:ascii="Arial" w:eastAsia="Arial" w:hAnsi="Arial" w:cs="Arial"/>
                <w:sz w:val="22"/>
                <w:szCs w:val="22"/>
              </w:rPr>
            </w:pPr>
            <w:r>
              <w:rPr>
                <w:rFonts w:ascii="Arial" w:eastAsia="Arial" w:hAnsi="Arial" w:cs="Arial"/>
                <w:sz w:val="22"/>
                <w:szCs w:val="22"/>
              </w:rPr>
              <w:t>Atender 100% de mujeres víctimas remitidas por canales oficiales</w:t>
            </w:r>
          </w:p>
        </w:tc>
        <w:tc>
          <w:tcPr>
            <w:tcW w:w="2231" w:type="dxa"/>
            <w:tcBorders>
              <w:top w:val="nil"/>
              <w:left w:val="nil"/>
              <w:bottom w:val="single" w:sz="5" w:space="0" w:color="000000"/>
              <w:right w:val="single" w:sz="5" w:space="0" w:color="000000"/>
            </w:tcBorders>
            <w:tcMar>
              <w:top w:w="0" w:type="dxa"/>
              <w:left w:w="100" w:type="dxa"/>
              <w:bottom w:w="0" w:type="dxa"/>
              <w:right w:w="100" w:type="dxa"/>
            </w:tcMar>
          </w:tcPr>
          <w:p w14:paraId="62C4C1D5" w14:textId="77777777" w:rsidR="00F31DD1" w:rsidRDefault="00000000">
            <w:pPr>
              <w:spacing w:before="240" w:line="276" w:lineRule="auto"/>
              <w:jc w:val="both"/>
              <w:rPr>
                <w:rFonts w:ascii="Arial" w:eastAsia="Arial" w:hAnsi="Arial" w:cs="Arial"/>
                <w:sz w:val="22"/>
                <w:szCs w:val="22"/>
              </w:rPr>
            </w:pPr>
            <w:r>
              <w:rPr>
                <w:rFonts w:ascii="Arial" w:eastAsia="Arial" w:hAnsi="Arial" w:cs="Arial"/>
                <w:sz w:val="22"/>
                <w:szCs w:val="22"/>
              </w:rPr>
              <w:t xml:space="preserve">% de casos atendidos con enfoque </w:t>
            </w:r>
            <w:proofErr w:type="spellStart"/>
            <w:r>
              <w:rPr>
                <w:rFonts w:ascii="Arial" w:eastAsia="Arial" w:hAnsi="Arial" w:cs="Arial"/>
                <w:sz w:val="22"/>
                <w:szCs w:val="22"/>
              </w:rPr>
              <w:t>sociojurídico</w:t>
            </w:r>
            <w:proofErr w:type="spellEnd"/>
            <w:r>
              <w:rPr>
                <w:rFonts w:ascii="Arial" w:eastAsia="Arial" w:hAnsi="Arial" w:cs="Arial"/>
                <w:sz w:val="22"/>
                <w:szCs w:val="22"/>
              </w:rPr>
              <w:t xml:space="preserve"> y psicosocial</w:t>
            </w:r>
          </w:p>
        </w:tc>
        <w:tc>
          <w:tcPr>
            <w:tcW w:w="2276" w:type="dxa"/>
            <w:tcBorders>
              <w:top w:val="nil"/>
              <w:left w:val="nil"/>
              <w:bottom w:val="single" w:sz="5" w:space="0" w:color="000000"/>
              <w:right w:val="single" w:sz="5" w:space="0" w:color="000000"/>
            </w:tcBorders>
            <w:tcMar>
              <w:top w:w="0" w:type="dxa"/>
              <w:left w:w="100" w:type="dxa"/>
              <w:bottom w:w="0" w:type="dxa"/>
              <w:right w:w="100" w:type="dxa"/>
            </w:tcMar>
          </w:tcPr>
          <w:p w14:paraId="314D04E7" w14:textId="77777777" w:rsidR="00F31DD1" w:rsidRDefault="00000000">
            <w:pPr>
              <w:spacing w:before="240" w:line="276" w:lineRule="auto"/>
              <w:jc w:val="both"/>
              <w:rPr>
                <w:rFonts w:ascii="Arial" w:eastAsia="Arial" w:hAnsi="Arial" w:cs="Arial"/>
                <w:sz w:val="22"/>
                <w:szCs w:val="22"/>
              </w:rPr>
            </w:pPr>
            <w:r>
              <w:rPr>
                <w:rFonts w:ascii="Arial" w:eastAsia="Arial" w:hAnsi="Arial" w:cs="Arial"/>
                <w:sz w:val="22"/>
                <w:szCs w:val="22"/>
              </w:rPr>
              <w:t>Atención integral evita revictimización y protege a NNA instrumentalizados.</w:t>
            </w:r>
          </w:p>
        </w:tc>
        <w:tc>
          <w:tcPr>
            <w:tcW w:w="2097" w:type="dxa"/>
            <w:tcBorders>
              <w:top w:val="nil"/>
              <w:left w:val="nil"/>
              <w:bottom w:val="single" w:sz="5" w:space="0" w:color="000000"/>
              <w:right w:val="single" w:sz="5" w:space="0" w:color="000000"/>
            </w:tcBorders>
            <w:tcMar>
              <w:top w:w="0" w:type="dxa"/>
              <w:left w:w="100" w:type="dxa"/>
              <w:bottom w:w="0" w:type="dxa"/>
              <w:right w:w="100" w:type="dxa"/>
            </w:tcMar>
          </w:tcPr>
          <w:p w14:paraId="72C1D81F" w14:textId="77777777" w:rsidR="00F31DD1" w:rsidRDefault="00000000">
            <w:pPr>
              <w:spacing w:before="240" w:line="276" w:lineRule="auto"/>
              <w:jc w:val="both"/>
              <w:rPr>
                <w:rFonts w:ascii="Arial" w:eastAsia="Arial" w:hAnsi="Arial" w:cs="Arial"/>
                <w:sz w:val="22"/>
                <w:szCs w:val="22"/>
              </w:rPr>
            </w:pPr>
            <w:r>
              <w:rPr>
                <w:rFonts w:ascii="Arial" w:eastAsia="Arial" w:hAnsi="Arial" w:cs="Arial"/>
                <w:sz w:val="22"/>
                <w:szCs w:val="22"/>
              </w:rPr>
              <w:t>Secretaría Distrital de la Mujer</w:t>
            </w:r>
          </w:p>
        </w:tc>
      </w:tr>
      <w:tr w:rsidR="00F31DD1" w14:paraId="696AD981" w14:textId="77777777">
        <w:trPr>
          <w:trHeight w:val="2025"/>
        </w:trPr>
        <w:tc>
          <w:tcPr>
            <w:tcW w:w="2231"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6ED282D6" w14:textId="77777777" w:rsidR="00F31DD1" w:rsidRDefault="00000000">
            <w:pPr>
              <w:spacing w:before="240" w:line="276" w:lineRule="auto"/>
              <w:jc w:val="both"/>
              <w:rPr>
                <w:rFonts w:ascii="Arial" w:eastAsia="Arial" w:hAnsi="Arial" w:cs="Arial"/>
                <w:sz w:val="22"/>
                <w:szCs w:val="22"/>
              </w:rPr>
            </w:pPr>
            <w:r>
              <w:rPr>
                <w:rFonts w:ascii="Arial" w:eastAsia="Arial" w:hAnsi="Arial" w:cs="Arial"/>
                <w:sz w:val="22"/>
                <w:szCs w:val="22"/>
              </w:rPr>
              <w:t>Garantizar psicología forense y acompañamiento psicosocial en 100% de representaciones jurídicas</w:t>
            </w:r>
          </w:p>
        </w:tc>
        <w:tc>
          <w:tcPr>
            <w:tcW w:w="2231" w:type="dxa"/>
            <w:tcBorders>
              <w:top w:val="nil"/>
              <w:left w:val="nil"/>
              <w:bottom w:val="single" w:sz="5" w:space="0" w:color="000000"/>
              <w:right w:val="single" w:sz="5" w:space="0" w:color="000000"/>
            </w:tcBorders>
            <w:tcMar>
              <w:top w:w="0" w:type="dxa"/>
              <w:left w:w="100" w:type="dxa"/>
              <w:bottom w:w="0" w:type="dxa"/>
              <w:right w:w="100" w:type="dxa"/>
            </w:tcMar>
          </w:tcPr>
          <w:p w14:paraId="1CF25144" w14:textId="77777777" w:rsidR="00F31DD1" w:rsidRDefault="00000000">
            <w:pPr>
              <w:spacing w:before="240" w:line="276" w:lineRule="auto"/>
              <w:jc w:val="both"/>
              <w:rPr>
                <w:rFonts w:ascii="Arial" w:eastAsia="Arial" w:hAnsi="Arial" w:cs="Arial"/>
                <w:sz w:val="22"/>
                <w:szCs w:val="22"/>
              </w:rPr>
            </w:pPr>
            <w:r>
              <w:rPr>
                <w:rFonts w:ascii="Arial" w:eastAsia="Arial" w:hAnsi="Arial" w:cs="Arial"/>
                <w:sz w:val="22"/>
                <w:szCs w:val="22"/>
              </w:rPr>
              <w:t>% de casos con acceso a psicología forense</w:t>
            </w:r>
          </w:p>
        </w:tc>
        <w:tc>
          <w:tcPr>
            <w:tcW w:w="2276" w:type="dxa"/>
            <w:tcBorders>
              <w:top w:val="nil"/>
              <w:left w:val="nil"/>
              <w:bottom w:val="single" w:sz="5" w:space="0" w:color="000000"/>
              <w:right w:val="single" w:sz="5" w:space="0" w:color="000000"/>
            </w:tcBorders>
            <w:tcMar>
              <w:top w:w="0" w:type="dxa"/>
              <w:left w:w="100" w:type="dxa"/>
              <w:bottom w:w="0" w:type="dxa"/>
              <w:right w:w="100" w:type="dxa"/>
            </w:tcMar>
          </w:tcPr>
          <w:p w14:paraId="17246B8E" w14:textId="77777777" w:rsidR="00F31DD1" w:rsidRDefault="00000000">
            <w:pPr>
              <w:spacing w:before="240" w:line="276" w:lineRule="auto"/>
              <w:jc w:val="both"/>
              <w:rPr>
                <w:rFonts w:ascii="Arial" w:eastAsia="Arial" w:hAnsi="Arial" w:cs="Arial"/>
                <w:sz w:val="22"/>
                <w:szCs w:val="22"/>
              </w:rPr>
            </w:pPr>
            <w:r>
              <w:rPr>
                <w:rFonts w:ascii="Arial" w:eastAsia="Arial" w:hAnsi="Arial" w:cs="Arial"/>
                <w:sz w:val="22"/>
                <w:szCs w:val="22"/>
              </w:rPr>
              <w:t>Apoya pruebas y medidas de protección en procesos de custodia/visitas asociados a violencia vicaria.</w:t>
            </w:r>
          </w:p>
        </w:tc>
        <w:tc>
          <w:tcPr>
            <w:tcW w:w="2097" w:type="dxa"/>
            <w:tcBorders>
              <w:top w:val="nil"/>
              <w:left w:val="nil"/>
              <w:bottom w:val="single" w:sz="5" w:space="0" w:color="000000"/>
              <w:right w:val="single" w:sz="5" w:space="0" w:color="000000"/>
            </w:tcBorders>
            <w:tcMar>
              <w:top w:w="0" w:type="dxa"/>
              <w:left w:w="100" w:type="dxa"/>
              <w:bottom w:w="0" w:type="dxa"/>
              <w:right w:w="100" w:type="dxa"/>
            </w:tcMar>
          </w:tcPr>
          <w:p w14:paraId="6B3EF5DC" w14:textId="77777777" w:rsidR="00F31DD1" w:rsidRDefault="00000000">
            <w:pPr>
              <w:spacing w:before="240" w:line="276" w:lineRule="auto"/>
              <w:jc w:val="both"/>
              <w:rPr>
                <w:rFonts w:ascii="Arial" w:eastAsia="Arial" w:hAnsi="Arial" w:cs="Arial"/>
                <w:sz w:val="22"/>
                <w:szCs w:val="22"/>
              </w:rPr>
            </w:pPr>
            <w:r>
              <w:rPr>
                <w:rFonts w:ascii="Arial" w:eastAsia="Arial" w:hAnsi="Arial" w:cs="Arial"/>
                <w:sz w:val="22"/>
                <w:szCs w:val="22"/>
              </w:rPr>
              <w:t>Secretaría Distrital de la Mujer</w:t>
            </w:r>
          </w:p>
        </w:tc>
      </w:tr>
      <w:tr w:rsidR="00F31DD1" w14:paraId="2626A47C" w14:textId="77777777">
        <w:trPr>
          <w:trHeight w:val="1725"/>
        </w:trPr>
        <w:tc>
          <w:tcPr>
            <w:tcW w:w="2231"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432708F3" w14:textId="77777777" w:rsidR="00F31DD1" w:rsidRDefault="00000000">
            <w:pPr>
              <w:spacing w:before="240" w:line="276" w:lineRule="auto"/>
              <w:jc w:val="both"/>
              <w:rPr>
                <w:rFonts w:ascii="Arial" w:eastAsia="Arial" w:hAnsi="Arial" w:cs="Arial"/>
                <w:sz w:val="22"/>
                <w:szCs w:val="22"/>
              </w:rPr>
            </w:pPr>
            <w:r>
              <w:rPr>
                <w:rFonts w:ascii="Arial" w:eastAsia="Arial" w:hAnsi="Arial" w:cs="Arial"/>
                <w:sz w:val="22"/>
                <w:szCs w:val="22"/>
              </w:rPr>
              <w:lastRenderedPageBreak/>
              <w:t>Implementar plan intersectorial VIF–maltrato infantil–violencia sexual (100% de acciones sector salud)</w:t>
            </w:r>
          </w:p>
        </w:tc>
        <w:tc>
          <w:tcPr>
            <w:tcW w:w="2231" w:type="dxa"/>
            <w:tcBorders>
              <w:top w:val="nil"/>
              <w:left w:val="nil"/>
              <w:bottom w:val="single" w:sz="5" w:space="0" w:color="000000"/>
              <w:right w:val="single" w:sz="5" w:space="0" w:color="000000"/>
            </w:tcBorders>
            <w:tcMar>
              <w:top w:w="0" w:type="dxa"/>
              <w:left w:w="100" w:type="dxa"/>
              <w:bottom w:w="0" w:type="dxa"/>
              <w:right w:w="100" w:type="dxa"/>
            </w:tcMar>
          </w:tcPr>
          <w:p w14:paraId="4B8F1902" w14:textId="77777777" w:rsidR="00F31DD1" w:rsidRDefault="00000000">
            <w:pPr>
              <w:spacing w:before="240" w:line="276" w:lineRule="auto"/>
              <w:jc w:val="both"/>
              <w:rPr>
                <w:rFonts w:ascii="Arial" w:eastAsia="Arial" w:hAnsi="Arial" w:cs="Arial"/>
                <w:sz w:val="22"/>
                <w:szCs w:val="22"/>
              </w:rPr>
            </w:pPr>
            <w:r>
              <w:rPr>
                <w:rFonts w:ascii="Arial" w:eastAsia="Arial" w:hAnsi="Arial" w:cs="Arial"/>
                <w:sz w:val="22"/>
                <w:szCs w:val="22"/>
              </w:rPr>
              <w:t>% de acciones implementadas</w:t>
            </w:r>
          </w:p>
        </w:tc>
        <w:tc>
          <w:tcPr>
            <w:tcW w:w="2276" w:type="dxa"/>
            <w:tcBorders>
              <w:top w:val="nil"/>
              <w:left w:val="nil"/>
              <w:bottom w:val="single" w:sz="5" w:space="0" w:color="000000"/>
              <w:right w:val="single" w:sz="5" w:space="0" w:color="000000"/>
            </w:tcBorders>
            <w:tcMar>
              <w:top w:w="0" w:type="dxa"/>
              <w:left w:w="100" w:type="dxa"/>
              <w:bottom w:w="0" w:type="dxa"/>
              <w:right w:w="100" w:type="dxa"/>
            </w:tcMar>
          </w:tcPr>
          <w:p w14:paraId="4BBF4D8C" w14:textId="77777777" w:rsidR="00F31DD1" w:rsidRDefault="00000000">
            <w:pPr>
              <w:spacing w:before="240" w:line="276" w:lineRule="auto"/>
              <w:jc w:val="both"/>
              <w:rPr>
                <w:rFonts w:ascii="Arial" w:eastAsia="Arial" w:hAnsi="Arial" w:cs="Arial"/>
                <w:sz w:val="22"/>
                <w:szCs w:val="22"/>
              </w:rPr>
            </w:pPr>
            <w:r>
              <w:rPr>
                <w:rFonts w:ascii="Arial" w:eastAsia="Arial" w:hAnsi="Arial" w:cs="Arial"/>
                <w:sz w:val="22"/>
                <w:szCs w:val="22"/>
              </w:rPr>
              <w:t>Prevención y atención articulada de casos donde NNA son víctimas directas o vicarias.</w:t>
            </w:r>
          </w:p>
        </w:tc>
        <w:tc>
          <w:tcPr>
            <w:tcW w:w="2097" w:type="dxa"/>
            <w:tcBorders>
              <w:top w:val="nil"/>
              <w:left w:val="nil"/>
              <w:bottom w:val="single" w:sz="5" w:space="0" w:color="000000"/>
              <w:right w:val="single" w:sz="5" w:space="0" w:color="000000"/>
            </w:tcBorders>
            <w:tcMar>
              <w:top w:w="0" w:type="dxa"/>
              <w:left w:w="100" w:type="dxa"/>
              <w:bottom w:w="0" w:type="dxa"/>
              <w:right w:w="100" w:type="dxa"/>
            </w:tcMar>
          </w:tcPr>
          <w:p w14:paraId="050EDC50" w14:textId="77777777" w:rsidR="00F31DD1" w:rsidRDefault="00000000">
            <w:pPr>
              <w:spacing w:before="240" w:line="276" w:lineRule="auto"/>
              <w:jc w:val="both"/>
              <w:rPr>
                <w:rFonts w:ascii="Arial" w:eastAsia="Arial" w:hAnsi="Arial" w:cs="Arial"/>
                <w:sz w:val="22"/>
                <w:szCs w:val="22"/>
              </w:rPr>
            </w:pPr>
            <w:r>
              <w:rPr>
                <w:rFonts w:ascii="Arial" w:eastAsia="Arial" w:hAnsi="Arial" w:cs="Arial"/>
                <w:sz w:val="22"/>
                <w:szCs w:val="22"/>
              </w:rPr>
              <w:t>Secretaría Distrital de Salud</w:t>
            </w:r>
          </w:p>
        </w:tc>
      </w:tr>
      <w:tr w:rsidR="00F31DD1" w14:paraId="7439AC95" w14:textId="77777777">
        <w:trPr>
          <w:trHeight w:val="1440"/>
        </w:trPr>
        <w:tc>
          <w:tcPr>
            <w:tcW w:w="2231"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3380DE19" w14:textId="77777777" w:rsidR="00F31DD1" w:rsidRDefault="00000000">
            <w:pPr>
              <w:spacing w:before="240" w:line="276" w:lineRule="auto"/>
              <w:jc w:val="both"/>
              <w:rPr>
                <w:rFonts w:ascii="Arial" w:eastAsia="Arial" w:hAnsi="Arial" w:cs="Arial"/>
                <w:sz w:val="22"/>
                <w:szCs w:val="22"/>
              </w:rPr>
            </w:pPr>
            <w:r>
              <w:rPr>
                <w:rFonts w:ascii="Arial" w:eastAsia="Arial" w:hAnsi="Arial" w:cs="Arial"/>
                <w:sz w:val="22"/>
                <w:szCs w:val="22"/>
              </w:rPr>
              <w:t>Fortalecer 67 equipos interdisciplinarios en Comisarías de Familia</w:t>
            </w:r>
          </w:p>
        </w:tc>
        <w:tc>
          <w:tcPr>
            <w:tcW w:w="2231" w:type="dxa"/>
            <w:tcBorders>
              <w:top w:val="nil"/>
              <w:left w:val="nil"/>
              <w:bottom w:val="single" w:sz="5" w:space="0" w:color="000000"/>
              <w:right w:val="single" w:sz="5" w:space="0" w:color="000000"/>
            </w:tcBorders>
            <w:tcMar>
              <w:top w:w="0" w:type="dxa"/>
              <w:left w:w="100" w:type="dxa"/>
              <w:bottom w:w="0" w:type="dxa"/>
              <w:right w:w="100" w:type="dxa"/>
            </w:tcMar>
          </w:tcPr>
          <w:p w14:paraId="71D52FA2" w14:textId="77777777" w:rsidR="00F31DD1" w:rsidRDefault="00000000">
            <w:pPr>
              <w:spacing w:before="240" w:line="276" w:lineRule="auto"/>
              <w:jc w:val="both"/>
              <w:rPr>
                <w:rFonts w:ascii="Arial" w:eastAsia="Arial" w:hAnsi="Arial" w:cs="Arial"/>
                <w:sz w:val="22"/>
                <w:szCs w:val="22"/>
              </w:rPr>
            </w:pPr>
            <w:r>
              <w:rPr>
                <w:rFonts w:ascii="Arial" w:eastAsia="Arial" w:hAnsi="Arial" w:cs="Arial"/>
                <w:sz w:val="22"/>
                <w:szCs w:val="22"/>
              </w:rPr>
              <w:t>Número de equipos interdisciplinarios operando</w:t>
            </w:r>
          </w:p>
        </w:tc>
        <w:tc>
          <w:tcPr>
            <w:tcW w:w="2276" w:type="dxa"/>
            <w:tcBorders>
              <w:top w:val="nil"/>
              <w:left w:val="nil"/>
              <w:bottom w:val="single" w:sz="5" w:space="0" w:color="000000"/>
              <w:right w:val="single" w:sz="5" w:space="0" w:color="000000"/>
            </w:tcBorders>
            <w:tcMar>
              <w:top w:w="0" w:type="dxa"/>
              <w:left w:w="100" w:type="dxa"/>
              <w:bottom w:w="0" w:type="dxa"/>
              <w:right w:w="100" w:type="dxa"/>
            </w:tcMar>
          </w:tcPr>
          <w:p w14:paraId="1A914FCB" w14:textId="77777777" w:rsidR="00F31DD1" w:rsidRDefault="00000000">
            <w:pPr>
              <w:spacing w:before="240" w:line="276" w:lineRule="auto"/>
              <w:jc w:val="both"/>
              <w:rPr>
                <w:rFonts w:ascii="Arial" w:eastAsia="Arial" w:hAnsi="Arial" w:cs="Arial"/>
                <w:sz w:val="22"/>
                <w:szCs w:val="22"/>
              </w:rPr>
            </w:pPr>
            <w:r>
              <w:rPr>
                <w:rFonts w:ascii="Arial" w:eastAsia="Arial" w:hAnsi="Arial" w:cs="Arial"/>
                <w:sz w:val="22"/>
                <w:szCs w:val="22"/>
              </w:rPr>
              <w:t>Permite medidas oportunas de suspensión de contacto y protección de NNA.</w:t>
            </w:r>
          </w:p>
        </w:tc>
        <w:tc>
          <w:tcPr>
            <w:tcW w:w="2097" w:type="dxa"/>
            <w:tcBorders>
              <w:top w:val="nil"/>
              <w:left w:val="nil"/>
              <w:bottom w:val="single" w:sz="5" w:space="0" w:color="000000"/>
              <w:right w:val="single" w:sz="5" w:space="0" w:color="000000"/>
            </w:tcBorders>
            <w:tcMar>
              <w:top w:w="0" w:type="dxa"/>
              <w:left w:w="100" w:type="dxa"/>
              <w:bottom w:w="0" w:type="dxa"/>
              <w:right w:w="100" w:type="dxa"/>
            </w:tcMar>
          </w:tcPr>
          <w:p w14:paraId="53AECEA0" w14:textId="77777777" w:rsidR="00F31DD1" w:rsidRDefault="00000000">
            <w:pPr>
              <w:spacing w:before="240" w:line="276" w:lineRule="auto"/>
              <w:jc w:val="both"/>
              <w:rPr>
                <w:rFonts w:ascii="Arial" w:eastAsia="Arial" w:hAnsi="Arial" w:cs="Arial"/>
                <w:sz w:val="22"/>
                <w:szCs w:val="22"/>
              </w:rPr>
            </w:pPr>
            <w:r>
              <w:rPr>
                <w:rFonts w:ascii="Arial" w:eastAsia="Arial" w:hAnsi="Arial" w:cs="Arial"/>
                <w:sz w:val="22"/>
                <w:szCs w:val="22"/>
              </w:rPr>
              <w:t>Secretaría Distrital de Integración Social</w:t>
            </w:r>
          </w:p>
        </w:tc>
      </w:tr>
      <w:tr w:rsidR="00F31DD1" w14:paraId="75B92899" w14:textId="77777777">
        <w:trPr>
          <w:trHeight w:val="1440"/>
        </w:trPr>
        <w:tc>
          <w:tcPr>
            <w:tcW w:w="2231"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639ED5E0" w14:textId="77777777" w:rsidR="00F31DD1" w:rsidRDefault="00000000">
            <w:pPr>
              <w:spacing w:before="240" w:line="276" w:lineRule="auto"/>
              <w:jc w:val="both"/>
              <w:rPr>
                <w:rFonts w:ascii="Arial" w:eastAsia="Arial" w:hAnsi="Arial" w:cs="Arial"/>
                <w:sz w:val="22"/>
                <w:szCs w:val="22"/>
              </w:rPr>
            </w:pPr>
            <w:r>
              <w:rPr>
                <w:rFonts w:ascii="Arial" w:eastAsia="Arial" w:hAnsi="Arial" w:cs="Arial"/>
                <w:sz w:val="22"/>
                <w:szCs w:val="22"/>
              </w:rPr>
              <w:t>Capacitar 100% de comisarias/os y equipos en enfoque diferencial y VBG</w:t>
            </w:r>
          </w:p>
        </w:tc>
        <w:tc>
          <w:tcPr>
            <w:tcW w:w="2231" w:type="dxa"/>
            <w:tcBorders>
              <w:top w:val="nil"/>
              <w:left w:val="nil"/>
              <w:bottom w:val="single" w:sz="5" w:space="0" w:color="000000"/>
              <w:right w:val="single" w:sz="5" w:space="0" w:color="000000"/>
            </w:tcBorders>
            <w:tcMar>
              <w:top w:w="0" w:type="dxa"/>
              <w:left w:w="100" w:type="dxa"/>
              <w:bottom w:w="0" w:type="dxa"/>
              <w:right w:w="100" w:type="dxa"/>
            </w:tcMar>
          </w:tcPr>
          <w:p w14:paraId="5F7FD50E" w14:textId="77777777" w:rsidR="00F31DD1" w:rsidRDefault="00000000">
            <w:pPr>
              <w:spacing w:before="240" w:line="276" w:lineRule="auto"/>
              <w:jc w:val="both"/>
              <w:rPr>
                <w:rFonts w:ascii="Arial" w:eastAsia="Arial" w:hAnsi="Arial" w:cs="Arial"/>
                <w:sz w:val="22"/>
                <w:szCs w:val="22"/>
              </w:rPr>
            </w:pPr>
            <w:r>
              <w:rPr>
                <w:rFonts w:ascii="Arial" w:eastAsia="Arial" w:hAnsi="Arial" w:cs="Arial"/>
                <w:sz w:val="22"/>
                <w:szCs w:val="22"/>
              </w:rPr>
              <w:t>% de funcionarios capacitados</w:t>
            </w:r>
          </w:p>
        </w:tc>
        <w:tc>
          <w:tcPr>
            <w:tcW w:w="2276" w:type="dxa"/>
            <w:tcBorders>
              <w:top w:val="nil"/>
              <w:left w:val="nil"/>
              <w:bottom w:val="single" w:sz="5" w:space="0" w:color="000000"/>
              <w:right w:val="single" w:sz="5" w:space="0" w:color="000000"/>
            </w:tcBorders>
            <w:tcMar>
              <w:top w:w="0" w:type="dxa"/>
              <w:left w:w="100" w:type="dxa"/>
              <w:bottom w:w="0" w:type="dxa"/>
              <w:right w:w="100" w:type="dxa"/>
            </w:tcMar>
          </w:tcPr>
          <w:p w14:paraId="461D5C64" w14:textId="77777777" w:rsidR="00F31DD1" w:rsidRDefault="00000000">
            <w:pPr>
              <w:spacing w:before="240" w:line="276" w:lineRule="auto"/>
              <w:jc w:val="both"/>
              <w:rPr>
                <w:rFonts w:ascii="Arial" w:eastAsia="Arial" w:hAnsi="Arial" w:cs="Arial"/>
                <w:sz w:val="22"/>
                <w:szCs w:val="22"/>
              </w:rPr>
            </w:pPr>
            <w:r>
              <w:rPr>
                <w:rFonts w:ascii="Arial" w:eastAsia="Arial" w:hAnsi="Arial" w:cs="Arial"/>
                <w:sz w:val="22"/>
                <w:szCs w:val="22"/>
              </w:rPr>
              <w:t>Asegura que se reconozca y actúe frente a violencia vicaria en decisiones de custodia y visitas.</w:t>
            </w:r>
          </w:p>
        </w:tc>
        <w:tc>
          <w:tcPr>
            <w:tcW w:w="2097" w:type="dxa"/>
            <w:tcBorders>
              <w:top w:val="nil"/>
              <w:left w:val="nil"/>
              <w:bottom w:val="single" w:sz="5" w:space="0" w:color="000000"/>
              <w:right w:val="single" w:sz="5" w:space="0" w:color="000000"/>
            </w:tcBorders>
            <w:tcMar>
              <w:top w:w="0" w:type="dxa"/>
              <w:left w:w="100" w:type="dxa"/>
              <w:bottom w:w="0" w:type="dxa"/>
              <w:right w:w="100" w:type="dxa"/>
            </w:tcMar>
          </w:tcPr>
          <w:p w14:paraId="6F6E4E27" w14:textId="77777777" w:rsidR="00F31DD1" w:rsidRDefault="00000000">
            <w:pPr>
              <w:spacing w:before="240" w:line="276" w:lineRule="auto"/>
              <w:jc w:val="both"/>
              <w:rPr>
                <w:rFonts w:ascii="Arial" w:eastAsia="Arial" w:hAnsi="Arial" w:cs="Arial"/>
                <w:sz w:val="22"/>
                <w:szCs w:val="22"/>
              </w:rPr>
            </w:pPr>
            <w:r>
              <w:rPr>
                <w:rFonts w:ascii="Arial" w:eastAsia="Arial" w:hAnsi="Arial" w:cs="Arial"/>
                <w:sz w:val="22"/>
                <w:szCs w:val="22"/>
              </w:rPr>
              <w:t>Secretaría Distrital de Integración Social</w:t>
            </w:r>
          </w:p>
        </w:tc>
      </w:tr>
    </w:tbl>
    <w:p w14:paraId="5B576E4A" w14:textId="77777777" w:rsidR="00F31DD1" w:rsidRDefault="00F31DD1">
      <w:pPr>
        <w:ind w:left="1440"/>
        <w:jc w:val="both"/>
        <w:rPr>
          <w:rFonts w:ascii="Arial" w:eastAsia="Arial" w:hAnsi="Arial" w:cs="Arial"/>
          <w:sz w:val="22"/>
          <w:szCs w:val="22"/>
        </w:rPr>
      </w:pPr>
    </w:p>
    <w:p w14:paraId="442EFEB3" w14:textId="77777777" w:rsidR="00F31DD1" w:rsidRDefault="00000000">
      <w:pPr>
        <w:numPr>
          <w:ilvl w:val="0"/>
          <w:numId w:val="1"/>
        </w:numPr>
        <w:jc w:val="both"/>
        <w:rPr>
          <w:rFonts w:ascii="Arial" w:eastAsia="Arial" w:hAnsi="Arial" w:cs="Arial"/>
          <w:b/>
          <w:sz w:val="22"/>
          <w:szCs w:val="22"/>
        </w:rPr>
      </w:pPr>
      <w:r>
        <w:rPr>
          <w:rFonts w:ascii="Arial" w:eastAsia="Arial" w:hAnsi="Arial" w:cs="Arial"/>
          <w:b/>
          <w:sz w:val="22"/>
          <w:szCs w:val="22"/>
        </w:rPr>
        <w:t>COMPETENCIA DEL CONCEJO DE BOGOTÁ</w:t>
      </w:r>
    </w:p>
    <w:p w14:paraId="59EDEF7E" w14:textId="77777777" w:rsidR="00F31DD1" w:rsidRDefault="00F31DD1">
      <w:pPr>
        <w:ind w:left="720"/>
        <w:jc w:val="both"/>
        <w:rPr>
          <w:rFonts w:ascii="Arial" w:eastAsia="Arial" w:hAnsi="Arial" w:cs="Arial"/>
          <w:b/>
          <w:sz w:val="22"/>
          <w:szCs w:val="22"/>
        </w:rPr>
      </w:pPr>
    </w:p>
    <w:p w14:paraId="1809A625" w14:textId="77777777" w:rsidR="00F31DD1" w:rsidRDefault="00000000">
      <w:pPr>
        <w:jc w:val="both"/>
        <w:rPr>
          <w:rFonts w:ascii="Arial" w:eastAsia="Arial" w:hAnsi="Arial" w:cs="Arial"/>
          <w:sz w:val="22"/>
          <w:szCs w:val="22"/>
        </w:rPr>
      </w:pPr>
      <w:r>
        <w:rPr>
          <w:rFonts w:ascii="Arial" w:eastAsia="Arial" w:hAnsi="Arial" w:cs="Arial"/>
          <w:sz w:val="22"/>
          <w:szCs w:val="22"/>
        </w:rPr>
        <w:t>El Concejo de Bogotá tiene competencia de dictar normas relacionadas con la naturaleza y alcance del proyecto de acuerdo sobre el que aquí se rinde ponencia, con base en el numeral 1 del artículo 313 de la Constitución Política de Colombia, el cual establece que:</w:t>
      </w:r>
    </w:p>
    <w:p w14:paraId="45378619" w14:textId="77777777" w:rsidR="00F31DD1" w:rsidRDefault="00F31DD1">
      <w:pPr>
        <w:ind w:left="1440"/>
        <w:jc w:val="both"/>
        <w:rPr>
          <w:rFonts w:ascii="Arial" w:eastAsia="Arial" w:hAnsi="Arial" w:cs="Arial"/>
          <w:sz w:val="22"/>
          <w:szCs w:val="22"/>
        </w:rPr>
      </w:pPr>
    </w:p>
    <w:p w14:paraId="7E2050CF" w14:textId="77777777" w:rsidR="00F31DD1" w:rsidRDefault="00000000">
      <w:pPr>
        <w:ind w:left="1440"/>
        <w:jc w:val="both"/>
        <w:rPr>
          <w:rFonts w:ascii="Arial" w:eastAsia="Arial" w:hAnsi="Arial" w:cs="Arial"/>
          <w:i/>
          <w:sz w:val="22"/>
          <w:szCs w:val="22"/>
        </w:rPr>
      </w:pPr>
      <w:r>
        <w:rPr>
          <w:rFonts w:ascii="Arial" w:eastAsia="Arial" w:hAnsi="Arial" w:cs="Arial"/>
          <w:i/>
          <w:sz w:val="22"/>
          <w:szCs w:val="22"/>
        </w:rPr>
        <w:t>ARTÍCULO 313. Corresponde a los Concejos:</w:t>
      </w:r>
    </w:p>
    <w:p w14:paraId="38C90C56" w14:textId="77777777" w:rsidR="00F31DD1" w:rsidRDefault="00000000">
      <w:pPr>
        <w:ind w:left="1440"/>
        <w:jc w:val="both"/>
        <w:rPr>
          <w:rFonts w:ascii="Arial" w:eastAsia="Arial" w:hAnsi="Arial" w:cs="Arial"/>
          <w:i/>
          <w:sz w:val="22"/>
          <w:szCs w:val="22"/>
        </w:rPr>
      </w:pPr>
      <w:r>
        <w:rPr>
          <w:rFonts w:ascii="Arial" w:eastAsia="Arial" w:hAnsi="Arial" w:cs="Arial"/>
          <w:i/>
          <w:sz w:val="22"/>
          <w:szCs w:val="22"/>
        </w:rPr>
        <w:t>1. Reglamentar las funciones y la eficiente prestación de los servicios a cargo del municipio [...].</w:t>
      </w:r>
    </w:p>
    <w:p w14:paraId="13EB11E4" w14:textId="77777777" w:rsidR="00F31DD1" w:rsidRDefault="00F31DD1">
      <w:pPr>
        <w:ind w:left="1440"/>
        <w:jc w:val="both"/>
        <w:rPr>
          <w:rFonts w:ascii="Arial" w:eastAsia="Arial" w:hAnsi="Arial" w:cs="Arial"/>
          <w:sz w:val="22"/>
          <w:szCs w:val="22"/>
        </w:rPr>
      </w:pPr>
    </w:p>
    <w:p w14:paraId="3C1A18B7" w14:textId="77777777" w:rsidR="00F31DD1" w:rsidRDefault="00000000">
      <w:pPr>
        <w:jc w:val="both"/>
        <w:rPr>
          <w:rFonts w:ascii="Arial" w:eastAsia="Arial" w:hAnsi="Arial" w:cs="Arial"/>
          <w:sz w:val="22"/>
          <w:szCs w:val="22"/>
        </w:rPr>
      </w:pPr>
      <w:r>
        <w:rPr>
          <w:rFonts w:ascii="Arial" w:eastAsia="Arial" w:hAnsi="Arial" w:cs="Arial"/>
          <w:sz w:val="22"/>
          <w:szCs w:val="22"/>
        </w:rPr>
        <w:t xml:space="preserve">En segunda instancia, en concordancia con lo estipulado en el artículo 8 y numeral 1 del artículo 12 del Decreto Ley 1421 de 1993 (Estatuto Orgánico de Bogotá), que a la letra dicen: </w:t>
      </w:r>
    </w:p>
    <w:p w14:paraId="503309DC" w14:textId="77777777" w:rsidR="00F31DD1" w:rsidRDefault="00F31DD1">
      <w:pPr>
        <w:ind w:left="1440"/>
        <w:jc w:val="both"/>
        <w:rPr>
          <w:rFonts w:ascii="Arial" w:eastAsia="Arial" w:hAnsi="Arial" w:cs="Arial"/>
          <w:i/>
          <w:sz w:val="22"/>
          <w:szCs w:val="22"/>
        </w:rPr>
      </w:pPr>
    </w:p>
    <w:p w14:paraId="510E0D8B" w14:textId="77777777" w:rsidR="00F31DD1" w:rsidRDefault="00000000">
      <w:pPr>
        <w:ind w:left="1440" w:right="-142"/>
        <w:jc w:val="both"/>
        <w:rPr>
          <w:rFonts w:ascii="Arial" w:eastAsia="Arial" w:hAnsi="Arial" w:cs="Arial"/>
          <w:i/>
          <w:sz w:val="22"/>
          <w:szCs w:val="22"/>
        </w:rPr>
      </w:pPr>
      <w:r>
        <w:rPr>
          <w:rFonts w:ascii="Arial" w:eastAsia="Arial" w:hAnsi="Arial" w:cs="Arial"/>
          <w:i/>
          <w:sz w:val="22"/>
          <w:szCs w:val="22"/>
        </w:rPr>
        <w:t>ARTÍCULO  8. Funciones generales. El Concejo es la suprema autoridad del Distrito Capital. En materia administrativa sus atribuciones son de carácter normativo. También le corresponde vigilar y controlar la gestión que cumplan las autoridades distritales.</w:t>
      </w:r>
    </w:p>
    <w:p w14:paraId="232A786C" w14:textId="77777777" w:rsidR="00F31DD1" w:rsidRDefault="00F31DD1">
      <w:pPr>
        <w:ind w:left="1440" w:right="-142"/>
        <w:jc w:val="both"/>
        <w:rPr>
          <w:rFonts w:ascii="Arial" w:eastAsia="Arial" w:hAnsi="Arial" w:cs="Arial"/>
          <w:i/>
          <w:sz w:val="22"/>
          <w:szCs w:val="22"/>
        </w:rPr>
      </w:pPr>
    </w:p>
    <w:p w14:paraId="2F5A826E" w14:textId="77777777" w:rsidR="00F31DD1" w:rsidRDefault="00000000">
      <w:pPr>
        <w:ind w:left="1440" w:right="-142"/>
        <w:jc w:val="both"/>
        <w:rPr>
          <w:rFonts w:ascii="Arial" w:eastAsia="Arial" w:hAnsi="Arial" w:cs="Arial"/>
          <w:sz w:val="22"/>
          <w:szCs w:val="22"/>
        </w:rPr>
      </w:pPr>
      <w:r>
        <w:rPr>
          <w:rFonts w:ascii="Arial" w:eastAsia="Arial" w:hAnsi="Arial" w:cs="Arial"/>
          <w:sz w:val="22"/>
          <w:szCs w:val="22"/>
        </w:rPr>
        <w:t>(...)</w:t>
      </w:r>
    </w:p>
    <w:p w14:paraId="3E4A7C78" w14:textId="77777777" w:rsidR="00F31DD1" w:rsidRDefault="00F31DD1">
      <w:pPr>
        <w:ind w:left="1440" w:right="-142"/>
        <w:jc w:val="both"/>
        <w:rPr>
          <w:rFonts w:ascii="Arial" w:eastAsia="Arial" w:hAnsi="Arial" w:cs="Arial"/>
          <w:sz w:val="22"/>
          <w:szCs w:val="22"/>
        </w:rPr>
      </w:pPr>
    </w:p>
    <w:p w14:paraId="4A95DE83" w14:textId="77777777" w:rsidR="00F31DD1" w:rsidRDefault="00000000">
      <w:pPr>
        <w:ind w:left="1440" w:right="-142"/>
        <w:jc w:val="both"/>
        <w:rPr>
          <w:rFonts w:ascii="Arial" w:eastAsia="Arial" w:hAnsi="Arial" w:cs="Arial"/>
          <w:i/>
          <w:sz w:val="22"/>
          <w:szCs w:val="22"/>
        </w:rPr>
      </w:pPr>
      <w:r>
        <w:rPr>
          <w:rFonts w:ascii="Arial" w:eastAsia="Arial" w:hAnsi="Arial" w:cs="Arial"/>
          <w:sz w:val="22"/>
          <w:szCs w:val="22"/>
        </w:rPr>
        <w:t>ARTÍCULO 12. Atribuciones.</w:t>
      </w:r>
      <w:r>
        <w:rPr>
          <w:rFonts w:ascii="Arial" w:eastAsia="Arial" w:hAnsi="Arial" w:cs="Arial"/>
          <w:b/>
          <w:sz w:val="22"/>
          <w:szCs w:val="22"/>
        </w:rPr>
        <w:t xml:space="preserve"> </w:t>
      </w:r>
      <w:r>
        <w:rPr>
          <w:rFonts w:ascii="Arial" w:eastAsia="Arial" w:hAnsi="Arial" w:cs="Arial"/>
          <w:sz w:val="22"/>
          <w:szCs w:val="22"/>
        </w:rPr>
        <w:t xml:space="preserve">Corresponde al Concejo Distrital, de conformidad con la Constitución y a la ley: </w:t>
      </w:r>
      <w:r>
        <w:rPr>
          <w:rFonts w:ascii="Arial" w:eastAsia="Arial" w:hAnsi="Arial" w:cs="Arial"/>
          <w:i/>
          <w:sz w:val="22"/>
          <w:szCs w:val="22"/>
        </w:rPr>
        <w:t>(…)</w:t>
      </w:r>
    </w:p>
    <w:p w14:paraId="72861609" w14:textId="77777777" w:rsidR="00F31DD1" w:rsidRDefault="00000000">
      <w:pPr>
        <w:spacing w:before="240" w:after="240"/>
        <w:ind w:left="1420"/>
        <w:jc w:val="both"/>
        <w:rPr>
          <w:rFonts w:ascii="Arial" w:eastAsia="Arial" w:hAnsi="Arial" w:cs="Arial"/>
          <w:i/>
          <w:sz w:val="22"/>
          <w:szCs w:val="22"/>
        </w:rPr>
      </w:pPr>
      <w:r>
        <w:rPr>
          <w:rFonts w:ascii="Arial" w:eastAsia="Arial" w:hAnsi="Arial" w:cs="Arial"/>
          <w:i/>
          <w:sz w:val="22"/>
          <w:szCs w:val="22"/>
        </w:rPr>
        <w:lastRenderedPageBreak/>
        <w:t xml:space="preserve">1. Dictar las normas necesarias para garantizar el adecuado cumplimiento de las funciones y la eficiente prestación de los servicios a cargo del Distrito. </w:t>
      </w:r>
    </w:p>
    <w:p w14:paraId="1D085E4B" w14:textId="77777777" w:rsidR="00F31DD1" w:rsidRDefault="00000000">
      <w:pPr>
        <w:spacing w:before="240" w:after="240"/>
        <w:ind w:left="1420"/>
        <w:jc w:val="both"/>
        <w:rPr>
          <w:rFonts w:ascii="Arial" w:eastAsia="Arial" w:hAnsi="Arial" w:cs="Arial"/>
          <w:i/>
          <w:sz w:val="22"/>
          <w:szCs w:val="22"/>
        </w:rPr>
      </w:pPr>
      <w:r>
        <w:rPr>
          <w:rFonts w:ascii="Arial" w:eastAsia="Arial" w:hAnsi="Arial" w:cs="Arial"/>
          <w:i/>
          <w:sz w:val="22"/>
          <w:szCs w:val="22"/>
        </w:rPr>
        <w:t>(…)</w:t>
      </w:r>
    </w:p>
    <w:p w14:paraId="65162302" w14:textId="77777777" w:rsidR="00F31DD1" w:rsidRDefault="00000000">
      <w:pPr>
        <w:ind w:right="-142"/>
        <w:jc w:val="both"/>
        <w:rPr>
          <w:rFonts w:ascii="Arial" w:eastAsia="Arial" w:hAnsi="Arial" w:cs="Arial"/>
          <w:sz w:val="22"/>
          <w:szCs w:val="22"/>
        </w:rPr>
      </w:pPr>
      <w:r>
        <w:rPr>
          <w:rFonts w:ascii="Arial" w:eastAsia="Arial" w:hAnsi="Arial" w:cs="Arial"/>
          <w:sz w:val="22"/>
          <w:szCs w:val="22"/>
        </w:rPr>
        <w:t xml:space="preserve">Al respecto, como ponentes, consideramos prudente enfatizar en que, desde el Reglamento Interno de la Corporación se expone: </w:t>
      </w:r>
    </w:p>
    <w:p w14:paraId="1D49F3AC" w14:textId="77777777" w:rsidR="00F31DD1" w:rsidRDefault="00F31DD1">
      <w:pPr>
        <w:ind w:right="-142"/>
        <w:jc w:val="both"/>
        <w:rPr>
          <w:rFonts w:ascii="Arial" w:eastAsia="Arial" w:hAnsi="Arial" w:cs="Arial"/>
          <w:sz w:val="22"/>
          <w:szCs w:val="22"/>
        </w:rPr>
      </w:pPr>
    </w:p>
    <w:p w14:paraId="3915CF32" w14:textId="77777777" w:rsidR="00F31DD1" w:rsidRDefault="00000000">
      <w:pPr>
        <w:ind w:left="1440" w:right="-142"/>
        <w:jc w:val="both"/>
        <w:rPr>
          <w:rFonts w:ascii="Arial" w:eastAsia="Arial" w:hAnsi="Arial" w:cs="Arial"/>
          <w:i/>
          <w:sz w:val="22"/>
          <w:szCs w:val="22"/>
        </w:rPr>
      </w:pPr>
      <w:r>
        <w:rPr>
          <w:rFonts w:ascii="Arial" w:eastAsia="Arial" w:hAnsi="Arial" w:cs="Arial"/>
          <w:i/>
          <w:sz w:val="22"/>
          <w:szCs w:val="22"/>
        </w:rPr>
        <w:t>“ARTÍCULO 65.- INICIATIVA. Los proyectos de acuerdo pueden ser presentados por los Concejales individualmente, a través de las Bancadas, de manera integrada con otros Concejales o Bancadas y por el Alcalde Mayor, por medio de sus Secretarios, Jefes de Departamento Administrativo o Representantes Legales de las Entidades Descentralizadas. (...)”</w:t>
      </w:r>
    </w:p>
    <w:p w14:paraId="14BA9678" w14:textId="77777777" w:rsidR="00F31DD1" w:rsidRDefault="00F31DD1">
      <w:pPr>
        <w:spacing w:after="10"/>
        <w:ind w:right="5"/>
        <w:jc w:val="center"/>
        <w:rPr>
          <w:rFonts w:ascii="Arial" w:eastAsia="Arial" w:hAnsi="Arial" w:cs="Arial"/>
          <w:b/>
          <w:i/>
          <w:sz w:val="22"/>
          <w:szCs w:val="22"/>
        </w:rPr>
      </w:pPr>
    </w:p>
    <w:p w14:paraId="552B433F" w14:textId="77777777" w:rsidR="00F31DD1" w:rsidRDefault="00000000">
      <w:pPr>
        <w:numPr>
          <w:ilvl w:val="0"/>
          <w:numId w:val="1"/>
        </w:numPr>
        <w:pBdr>
          <w:top w:val="nil"/>
          <w:left w:val="nil"/>
          <w:bottom w:val="nil"/>
          <w:right w:val="nil"/>
          <w:between w:val="nil"/>
        </w:pBdr>
        <w:spacing w:after="10"/>
        <w:ind w:right="5"/>
        <w:rPr>
          <w:rFonts w:ascii="Arial" w:eastAsia="Arial" w:hAnsi="Arial" w:cs="Arial"/>
          <w:b/>
          <w:sz w:val="22"/>
          <w:szCs w:val="22"/>
        </w:rPr>
      </w:pPr>
      <w:r>
        <w:rPr>
          <w:rFonts w:ascii="Arial" w:eastAsia="Arial" w:hAnsi="Arial" w:cs="Arial"/>
          <w:b/>
          <w:sz w:val="22"/>
          <w:szCs w:val="22"/>
        </w:rPr>
        <w:t xml:space="preserve">CONCEPTO DE LA ADMINISTRACIÓN </w:t>
      </w:r>
    </w:p>
    <w:p w14:paraId="77BFB6ED" w14:textId="77777777" w:rsidR="00F31DD1" w:rsidRDefault="00F31DD1">
      <w:pPr>
        <w:spacing w:after="10"/>
        <w:ind w:right="5"/>
        <w:jc w:val="both"/>
        <w:rPr>
          <w:rFonts w:ascii="Arial" w:eastAsia="Arial" w:hAnsi="Arial" w:cs="Arial"/>
          <w:sz w:val="22"/>
          <w:szCs w:val="22"/>
        </w:rPr>
      </w:pPr>
    </w:p>
    <w:p w14:paraId="10D9A9A5" w14:textId="77777777" w:rsidR="00F31DD1" w:rsidRDefault="00000000">
      <w:pPr>
        <w:widowControl w:val="0"/>
        <w:spacing w:line="276" w:lineRule="auto"/>
        <w:ind w:right="5"/>
        <w:jc w:val="both"/>
        <w:rPr>
          <w:rFonts w:ascii="Arial" w:eastAsia="Arial" w:hAnsi="Arial" w:cs="Arial"/>
          <w:b/>
          <w:sz w:val="22"/>
          <w:szCs w:val="22"/>
        </w:rPr>
      </w:pPr>
      <w:r>
        <w:rPr>
          <w:rFonts w:ascii="Arial" w:eastAsia="Arial" w:hAnsi="Arial" w:cs="Arial"/>
          <w:sz w:val="22"/>
          <w:szCs w:val="22"/>
        </w:rPr>
        <w:t xml:space="preserve">Al verificar en la Red Interna del Concejo de Bogotá, se encuentra que a la fecha la Administración Distrital </w:t>
      </w:r>
      <w:r>
        <w:rPr>
          <w:rFonts w:ascii="Arial" w:eastAsia="Arial" w:hAnsi="Arial" w:cs="Arial"/>
          <w:b/>
          <w:sz w:val="22"/>
          <w:szCs w:val="22"/>
        </w:rPr>
        <w:t>NO</w:t>
      </w:r>
      <w:r>
        <w:rPr>
          <w:rFonts w:ascii="Arial" w:eastAsia="Arial" w:hAnsi="Arial" w:cs="Arial"/>
          <w:sz w:val="22"/>
          <w:szCs w:val="22"/>
        </w:rPr>
        <w:t xml:space="preserve"> ha emitido comentarios al presente Proyecto de Acuerdo </w:t>
      </w:r>
      <w:r>
        <w:rPr>
          <w:rFonts w:ascii="Arial" w:eastAsia="Arial" w:hAnsi="Arial" w:cs="Arial"/>
          <w:b/>
          <w:sz w:val="22"/>
          <w:szCs w:val="22"/>
        </w:rPr>
        <w:t>“POR MEDIO DEL CUAL SE ESTABLECE EL DÍA DISTRITAL CONTRA LA VIOLENCIA VICARIA Y SE IMPLEMENTAN ACCIONES PARA SU PREVENCIÓN, SENSIBILIZACIÓN Y ATENCIÓN EN EL DISTRITO CAPITAL”.</w:t>
      </w:r>
    </w:p>
    <w:p w14:paraId="094DE90D" w14:textId="77777777" w:rsidR="00F31DD1" w:rsidRDefault="00F31DD1">
      <w:pPr>
        <w:widowControl w:val="0"/>
        <w:spacing w:line="276" w:lineRule="auto"/>
        <w:ind w:left="446" w:right="427" w:hanging="12"/>
        <w:jc w:val="both"/>
        <w:rPr>
          <w:rFonts w:ascii="Arial" w:eastAsia="Arial" w:hAnsi="Arial" w:cs="Arial"/>
          <w:b/>
          <w:sz w:val="22"/>
          <w:szCs w:val="22"/>
        </w:rPr>
      </w:pPr>
    </w:p>
    <w:p w14:paraId="0CF23D7D" w14:textId="77777777" w:rsidR="00F31DD1" w:rsidRDefault="00000000">
      <w:pPr>
        <w:numPr>
          <w:ilvl w:val="0"/>
          <w:numId w:val="1"/>
        </w:numPr>
        <w:jc w:val="both"/>
        <w:rPr>
          <w:rFonts w:ascii="Arial" w:eastAsia="Arial" w:hAnsi="Arial" w:cs="Arial"/>
          <w:b/>
          <w:sz w:val="22"/>
          <w:szCs w:val="22"/>
        </w:rPr>
      </w:pPr>
      <w:r>
        <w:rPr>
          <w:rFonts w:ascii="Arial" w:eastAsia="Arial" w:hAnsi="Arial" w:cs="Arial"/>
          <w:b/>
          <w:sz w:val="22"/>
          <w:szCs w:val="22"/>
        </w:rPr>
        <w:t>CONSIDERACIONES DE LOS PONENTES</w:t>
      </w:r>
    </w:p>
    <w:p w14:paraId="442DACDE" w14:textId="77777777" w:rsidR="00F31DD1" w:rsidRDefault="00F31DD1">
      <w:pPr>
        <w:jc w:val="both"/>
        <w:rPr>
          <w:rFonts w:ascii="Arial" w:eastAsia="Arial" w:hAnsi="Arial" w:cs="Arial"/>
          <w:sz w:val="22"/>
          <w:szCs w:val="22"/>
        </w:rPr>
      </w:pPr>
    </w:p>
    <w:p w14:paraId="274D8CED" w14:textId="77777777" w:rsidR="00F31DD1" w:rsidRDefault="00000000">
      <w:pPr>
        <w:jc w:val="both"/>
        <w:rPr>
          <w:rFonts w:ascii="Arial" w:eastAsia="Arial" w:hAnsi="Arial" w:cs="Arial"/>
          <w:sz w:val="22"/>
          <w:szCs w:val="22"/>
        </w:rPr>
      </w:pPr>
      <w:r>
        <w:rPr>
          <w:rFonts w:ascii="Arial" w:eastAsia="Arial" w:hAnsi="Arial" w:cs="Arial"/>
          <w:sz w:val="22"/>
          <w:szCs w:val="22"/>
        </w:rPr>
        <w:t xml:space="preserve">La violencia vicaria entendida como la instrumentalización de niñas, niños y adolescentes (NNA) para generar daño a la madre o cuidadora en un contexto de violencia basada en género (VBG) es una forma extrema de violencia basada en género con efectos devastadores y, a la vez, </w:t>
      </w:r>
      <w:proofErr w:type="spellStart"/>
      <w:r>
        <w:rPr>
          <w:rFonts w:ascii="Arial" w:eastAsia="Arial" w:hAnsi="Arial" w:cs="Arial"/>
          <w:sz w:val="22"/>
          <w:szCs w:val="22"/>
        </w:rPr>
        <w:t>subregistrada</w:t>
      </w:r>
      <w:proofErr w:type="spellEnd"/>
      <w:r>
        <w:rPr>
          <w:rFonts w:ascii="Arial" w:eastAsia="Arial" w:hAnsi="Arial" w:cs="Arial"/>
          <w:sz w:val="22"/>
          <w:szCs w:val="22"/>
        </w:rPr>
        <w:t xml:space="preserve">; sólo ha empezado a ser reconocida en el debate público y legislativo colombiano en los últimos años. </w:t>
      </w:r>
    </w:p>
    <w:p w14:paraId="6524367D" w14:textId="77777777" w:rsidR="00F31DD1" w:rsidRDefault="00F31DD1">
      <w:pPr>
        <w:jc w:val="both"/>
        <w:rPr>
          <w:rFonts w:ascii="Arial" w:eastAsia="Arial" w:hAnsi="Arial" w:cs="Arial"/>
          <w:sz w:val="22"/>
          <w:szCs w:val="22"/>
        </w:rPr>
      </w:pPr>
    </w:p>
    <w:p w14:paraId="394B43CF" w14:textId="77777777" w:rsidR="00F31DD1" w:rsidRDefault="00000000">
      <w:pPr>
        <w:jc w:val="both"/>
        <w:rPr>
          <w:rFonts w:ascii="Arial" w:eastAsia="Arial" w:hAnsi="Arial" w:cs="Arial"/>
          <w:sz w:val="22"/>
          <w:szCs w:val="22"/>
        </w:rPr>
      </w:pPr>
      <w:r>
        <w:rPr>
          <w:rFonts w:ascii="Arial" w:eastAsia="Arial" w:hAnsi="Arial" w:cs="Arial"/>
          <w:sz w:val="22"/>
          <w:szCs w:val="22"/>
        </w:rPr>
        <w:t xml:space="preserve">En Bogotá, solo en 2024 se notificaron </w:t>
      </w:r>
      <w:r>
        <w:rPr>
          <w:rFonts w:ascii="Arial" w:eastAsia="Arial" w:hAnsi="Arial" w:cs="Arial"/>
          <w:b/>
          <w:sz w:val="22"/>
          <w:szCs w:val="22"/>
        </w:rPr>
        <w:t>51.070 presuntas víctimas de violencia intrafamiliar y de género</w:t>
      </w:r>
      <w:r>
        <w:rPr>
          <w:rFonts w:ascii="Arial" w:eastAsia="Arial" w:hAnsi="Arial" w:cs="Arial"/>
          <w:sz w:val="22"/>
          <w:szCs w:val="22"/>
        </w:rPr>
        <w:t xml:space="preserve">, con </w:t>
      </w:r>
      <w:r>
        <w:rPr>
          <w:rFonts w:ascii="Arial" w:eastAsia="Arial" w:hAnsi="Arial" w:cs="Arial"/>
          <w:b/>
          <w:sz w:val="22"/>
          <w:szCs w:val="22"/>
        </w:rPr>
        <w:t>67,6% mujeres</w:t>
      </w:r>
      <w:r>
        <w:rPr>
          <w:rFonts w:ascii="Arial" w:eastAsia="Arial" w:hAnsi="Arial" w:cs="Arial"/>
          <w:sz w:val="22"/>
          <w:szCs w:val="22"/>
        </w:rPr>
        <w:t xml:space="preserve"> afectadas; el </w:t>
      </w:r>
      <w:r>
        <w:rPr>
          <w:rFonts w:ascii="Arial" w:eastAsia="Arial" w:hAnsi="Arial" w:cs="Arial"/>
          <w:b/>
          <w:sz w:val="22"/>
          <w:szCs w:val="22"/>
        </w:rPr>
        <w:t>64,5%</w:t>
      </w:r>
      <w:r>
        <w:rPr>
          <w:rFonts w:ascii="Arial" w:eastAsia="Arial" w:hAnsi="Arial" w:cs="Arial"/>
          <w:sz w:val="22"/>
          <w:szCs w:val="22"/>
        </w:rPr>
        <w:t xml:space="preserve"> de los casos correspondió a </w:t>
      </w:r>
      <w:r>
        <w:rPr>
          <w:rFonts w:ascii="Arial" w:eastAsia="Arial" w:hAnsi="Arial" w:cs="Arial"/>
          <w:b/>
          <w:sz w:val="22"/>
          <w:szCs w:val="22"/>
        </w:rPr>
        <w:t>menores de 18 años</w:t>
      </w:r>
      <w:r>
        <w:rPr>
          <w:rFonts w:ascii="Arial" w:eastAsia="Arial" w:hAnsi="Arial" w:cs="Arial"/>
          <w:sz w:val="22"/>
          <w:szCs w:val="22"/>
        </w:rPr>
        <w:t xml:space="preserve">, lo que evidencia la exposición sistemática de niñas, niños y adolescentes a entornos violentos, muchas veces en el hogar (81,8% de los hechos).(Observatorio de salud de Bogotá. violencia de género). Estos datos revelan la urgencia de medidas distritales específicas de prevención, detección y atención con enfoque de género y de infancia fortaleciendo rutas de atención y capacidades institucionales para identificar tempranamente indicios de violencia vicaria y evitar su escalamiento. </w:t>
      </w:r>
    </w:p>
    <w:p w14:paraId="17753358" w14:textId="77777777" w:rsidR="00F31DD1" w:rsidRDefault="00F31DD1">
      <w:pPr>
        <w:jc w:val="both"/>
        <w:rPr>
          <w:rFonts w:ascii="Arial" w:eastAsia="Arial" w:hAnsi="Arial" w:cs="Arial"/>
          <w:sz w:val="22"/>
          <w:szCs w:val="22"/>
        </w:rPr>
      </w:pPr>
    </w:p>
    <w:p w14:paraId="063F73F7" w14:textId="77777777" w:rsidR="00F31DD1" w:rsidRDefault="00000000">
      <w:pPr>
        <w:jc w:val="both"/>
        <w:rPr>
          <w:rFonts w:ascii="Arial" w:eastAsia="Arial" w:hAnsi="Arial" w:cs="Arial"/>
          <w:sz w:val="22"/>
          <w:szCs w:val="22"/>
        </w:rPr>
      </w:pPr>
      <w:r>
        <w:rPr>
          <w:rFonts w:ascii="Arial" w:eastAsia="Arial" w:hAnsi="Arial" w:cs="Arial"/>
          <w:sz w:val="22"/>
          <w:szCs w:val="22"/>
        </w:rPr>
        <w:t xml:space="preserve">En el plano internacional, organismos como </w:t>
      </w:r>
      <w:r>
        <w:rPr>
          <w:rFonts w:ascii="Arial" w:eastAsia="Arial" w:hAnsi="Arial" w:cs="Arial"/>
          <w:b/>
          <w:sz w:val="22"/>
          <w:szCs w:val="22"/>
        </w:rPr>
        <w:t>ONU Mujeres</w:t>
      </w:r>
      <w:r>
        <w:rPr>
          <w:rFonts w:ascii="Arial" w:eastAsia="Arial" w:hAnsi="Arial" w:cs="Arial"/>
          <w:sz w:val="22"/>
          <w:szCs w:val="22"/>
        </w:rPr>
        <w:t xml:space="preserve"> han visibilizado la violencia vicaria en Colombia, subrayando su definición, mecanismos y efectos psicológicos en madres, hijas e hijos, así como la necesidad de </w:t>
      </w:r>
      <w:r>
        <w:rPr>
          <w:rFonts w:ascii="Arial" w:eastAsia="Arial" w:hAnsi="Arial" w:cs="Arial"/>
          <w:b/>
          <w:sz w:val="22"/>
          <w:szCs w:val="22"/>
        </w:rPr>
        <w:t>atención especializada</w:t>
      </w:r>
      <w:r>
        <w:rPr>
          <w:rFonts w:ascii="Arial" w:eastAsia="Arial" w:hAnsi="Arial" w:cs="Arial"/>
          <w:sz w:val="22"/>
          <w:szCs w:val="22"/>
        </w:rPr>
        <w:t xml:space="preserve"> y de </w:t>
      </w:r>
      <w:r>
        <w:rPr>
          <w:rFonts w:ascii="Arial" w:eastAsia="Arial" w:hAnsi="Arial" w:cs="Arial"/>
          <w:b/>
          <w:sz w:val="22"/>
          <w:szCs w:val="22"/>
        </w:rPr>
        <w:t>marcos normativos claros</w:t>
      </w:r>
      <w:r>
        <w:rPr>
          <w:rFonts w:ascii="Arial" w:eastAsia="Arial" w:hAnsi="Arial" w:cs="Arial"/>
          <w:sz w:val="22"/>
          <w:szCs w:val="22"/>
        </w:rPr>
        <w:t>. Esto alinea a la ciudad con estándares globales de derechos humanos y con llamados a incorporar la violencia vicaria en políticas y protocolos.</w:t>
      </w:r>
    </w:p>
    <w:p w14:paraId="4B5078A9" w14:textId="77777777" w:rsidR="00F31DD1" w:rsidRDefault="00F31DD1">
      <w:pPr>
        <w:jc w:val="both"/>
        <w:rPr>
          <w:rFonts w:ascii="Arial" w:eastAsia="Arial" w:hAnsi="Arial" w:cs="Arial"/>
          <w:sz w:val="22"/>
          <w:szCs w:val="22"/>
        </w:rPr>
      </w:pPr>
    </w:p>
    <w:p w14:paraId="6931D27E" w14:textId="77777777" w:rsidR="00F31DD1" w:rsidRDefault="00000000">
      <w:pPr>
        <w:jc w:val="both"/>
        <w:rPr>
          <w:rFonts w:ascii="Arial" w:eastAsia="Arial" w:hAnsi="Arial" w:cs="Arial"/>
          <w:sz w:val="22"/>
          <w:szCs w:val="22"/>
        </w:rPr>
      </w:pPr>
      <w:r>
        <w:rPr>
          <w:rFonts w:ascii="Arial" w:eastAsia="Arial" w:hAnsi="Arial" w:cs="Arial"/>
          <w:sz w:val="22"/>
          <w:szCs w:val="22"/>
        </w:rPr>
        <w:t xml:space="preserve">Es importante resaltar que la evidencia científica y de salud pública muestran que la exposición de niñas y niños a la violencia en el hogar conlleva </w:t>
      </w:r>
      <w:r>
        <w:rPr>
          <w:rFonts w:ascii="Arial" w:eastAsia="Arial" w:hAnsi="Arial" w:cs="Arial"/>
          <w:b/>
          <w:sz w:val="22"/>
          <w:szCs w:val="22"/>
        </w:rPr>
        <w:t>daños profundos y duraderos</w:t>
      </w:r>
      <w:r>
        <w:rPr>
          <w:rFonts w:ascii="Arial" w:eastAsia="Arial" w:hAnsi="Arial" w:cs="Arial"/>
          <w:sz w:val="22"/>
          <w:szCs w:val="22"/>
        </w:rPr>
        <w:t xml:space="preserve"> (ansiedad, depresión, Trastorno de Estrés Postraumático (TEPT), afectación del desarrollo y del desempeño escolar). La </w:t>
      </w:r>
      <w:r>
        <w:rPr>
          <w:rFonts w:ascii="Arial" w:eastAsia="Arial" w:hAnsi="Arial" w:cs="Arial"/>
          <w:b/>
          <w:sz w:val="22"/>
          <w:szCs w:val="22"/>
        </w:rPr>
        <w:t>OMS</w:t>
      </w:r>
      <w:r>
        <w:rPr>
          <w:rFonts w:ascii="Arial" w:eastAsia="Arial" w:hAnsi="Arial" w:cs="Arial"/>
          <w:sz w:val="22"/>
          <w:szCs w:val="22"/>
        </w:rPr>
        <w:t xml:space="preserve"> estima que hasta </w:t>
      </w:r>
      <w:r>
        <w:rPr>
          <w:rFonts w:ascii="Arial" w:eastAsia="Arial" w:hAnsi="Arial" w:cs="Arial"/>
          <w:b/>
          <w:sz w:val="22"/>
          <w:szCs w:val="22"/>
        </w:rPr>
        <w:t>1.000 millones</w:t>
      </w:r>
      <w:r>
        <w:rPr>
          <w:rFonts w:ascii="Arial" w:eastAsia="Arial" w:hAnsi="Arial" w:cs="Arial"/>
          <w:sz w:val="22"/>
          <w:szCs w:val="22"/>
        </w:rPr>
        <w:t xml:space="preserve"> de niños y niñas entre los 2 y los 17 años experimentan violencia física, sexual o emocional o negligencia cada año. Prevenir la violencia vicaria es, por tanto, también </w:t>
      </w:r>
      <w:r>
        <w:rPr>
          <w:rFonts w:ascii="Arial" w:eastAsia="Arial" w:hAnsi="Arial" w:cs="Arial"/>
          <w:b/>
          <w:sz w:val="22"/>
          <w:szCs w:val="22"/>
        </w:rPr>
        <w:t>política pública de salud infantil</w:t>
      </w:r>
      <w:r>
        <w:rPr>
          <w:rFonts w:ascii="Arial" w:eastAsia="Arial" w:hAnsi="Arial" w:cs="Arial"/>
          <w:sz w:val="22"/>
          <w:szCs w:val="22"/>
        </w:rPr>
        <w:t>.</w:t>
      </w:r>
    </w:p>
    <w:p w14:paraId="37652994" w14:textId="77777777" w:rsidR="00F31DD1" w:rsidRDefault="00000000">
      <w:pPr>
        <w:spacing w:before="240" w:after="240"/>
        <w:jc w:val="both"/>
        <w:rPr>
          <w:rFonts w:ascii="Arial" w:eastAsia="Arial" w:hAnsi="Arial" w:cs="Arial"/>
          <w:sz w:val="22"/>
          <w:szCs w:val="22"/>
        </w:rPr>
      </w:pPr>
      <w:r>
        <w:rPr>
          <w:rFonts w:ascii="Arial" w:eastAsia="Arial" w:hAnsi="Arial" w:cs="Arial"/>
          <w:sz w:val="22"/>
          <w:szCs w:val="22"/>
        </w:rPr>
        <w:t xml:space="preserve">En este mismo sentido debe decirse que la violencia vicaria, como lo evidencia el estudio publicado en el </w:t>
      </w:r>
      <w:proofErr w:type="spellStart"/>
      <w:r>
        <w:rPr>
          <w:rFonts w:ascii="Arial" w:eastAsia="Arial" w:hAnsi="Arial" w:cs="Arial"/>
          <w:i/>
          <w:sz w:val="22"/>
          <w:szCs w:val="22"/>
        </w:rPr>
        <w:t>European</w:t>
      </w:r>
      <w:proofErr w:type="spellEnd"/>
      <w:r>
        <w:rPr>
          <w:rFonts w:ascii="Arial" w:eastAsia="Arial" w:hAnsi="Arial" w:cs="Arial"/>
          <w:i/>
          <w:sz w:val="22"/>
          <w:szCs w:val="22"/>
        </w:rPr>
        <w:t xml:space="preserve"> </w:t>
      </w:r>
      <w:proofErr w:type="spellStart"/>
      <w:r>
        <w:rPr>
          <w:rFonts w:ascii="Arial" w:eastAsia="Arial" w:hAnsi="Arial" w:cs="Arial"/>
          <w:i/>
          <w:sz w:val="22"/>
          <w:szCs w:val="22"/>
        </w:rPr>
        <w:t>Journal</w:t>
      </w:r>
      <w:proofErr w:type="spellEnd"/>
      <w:r>
        <w:rPr>
          <w:rFonts w:ascii="Arial" w:eastAsia="Arial" w:hAnsi="Arial" w:cs="Arial"/>
          <w:i/>
          <w:sz w:val="22"/>
          <w:szCs w:val="22"/>
        </w:rPr>
        <w:t xml:space="preserve"> </w:t>
      </w:r>
      <w:proofErr w:type="spellStart"/>
      <w:r>
        <w:rPr>
          <w:rFonts w:ascii="Arial" w:eastAsia="Arial" w:hAnsi="Arial" w:cs="Arial"/>
          <w:i/>
          <w:sz w:val="22"/>
          <w:szCs w:val="22"/>
        </w:rPr>
        <w:t>of</w:t>
      </w:r>
      <w:proofErr w:type="spellEnd"/>
      <w:r>
        <w:rPr>
          <w:rFonts w:ascii="Arial" w:eastAsia="Arial" w:hAnsi="Arial" w:cs="Arial"/>
          <w:i/>
          <w:sz w:val="22"/>
          <w:szCs w:val="22"/>
        </w:rPr>
        <w:t xml:space="preserve"> </w:t>
      </w:r>
      <w:proofErr w:type="spellStart"/>
      <w:r>
        <w:rPr>
          <w:rFonts w:ascii="Arial" w:eastAsia="Arial" w:hAnsi="Arial" w:cs="Arial"/>
          <w:i/>
          <w:sz w:val="22"/>
          <w:szCs w:val="22"/>
        </w:rPr>
        <w:t>Psychology</w:t>
      </w:r>
      <w:proofErr w:type="spellEnd"/>
      <w:r>
        <w:rPr>
          <w:rFonts w:ascii="Arial" w:eastAsia="Arial" w:hAnsi="Arial" w:cs="Arial"/>
          <w:i/>
          <w:sz w:val="22"/>
          <w:szCs w:val="22"/>
        </w:rPr>
        <w:t xml:space="preserve"> </w:t>
      </w:r>
      <w:proofErr w:type="spellStart"/>
      <w:r>
        <w:rPr>
          <w:rFonts w:ascii="Arial" w:eastAsia="Arial" w:hAnsi="Arial" w:cs="Arial"/>
          <w:i/>
          <w:sz w:val="22"/>
          <w:szCs w:val="22"/>
        </w:rPr>
        <w:t>Applied</w:t>
      </w:r>
      <w:proofErr w:type="spellEnd"/>
      <w:r>
        <w:rPr>
          <w:rFonts w:ascii="Arial" w:eastAsia="Arial" w:hAnsi="Arial" w:cs="Arial"/>
          <w:i/>
          <w:sz w:val="22"/>
          <w:szCs w:val="22"/>
        </w:rPr>
        <w:t xml:space="preserve"> </w:t>
      </w:r>
      <w:proofErr w:type="spellStart"/>
      <w:r>
        <w:rPr>
          <w:rFonts w:ascii="Arial" w:eastAsia="Arial" w:hAnsi="Arial" w:cs="Arial"/>
          <w:i/>
          <w:sz w:val="22"/>
          <w:szCs w:val="22"/>
        </w:rPr>
        <w:t>to</w:t>
      </w:r>
      <w:proofErr w:type="spellEnd"/>
      <w:r>
        <w:rPr>
          <w:rFonts w:ascii="Arial" w:eastAsia="Arial" w:hAnsi="Arial" w:cs="Arial"/>
          <w:i/>
          <w:sz w:val="22"/>
          <w:szCs w:val="22"/>
        </w:rPr>
        <w:t xml:space="preserve"> Legal </w:t>
      </w:r>
      <w:proofErr w:type="spellStart"/>
      <w:r>
        <w:rPr>
          <w:rFonts w:ascii="Arial" w:eastAsia="Arial" w:hAnsi="Arial" w:cs="Arial"/>
          <w:i/>
          <w:sz w:val="22"/>
          <w:szCs w:val="22"/>
        </w:rPr>
        <w:t>Context</w:t>
      </w:r>
      <w:proofErr w:type="spellEnd"/>
      <w:r>
        <w:rPr>
          <w:rFonts w:ascii="Arial" w:eastAsia="Arial" w:hAnsi="Arial" w:cs="Arial"/>
          <w:i/>
          <w:sz w:val="22"/>
          <w:szCs w:val="22"/>
        </w:rPr>
        <w:t xml:space="preserve">, </w:t>
      </w:r>
      <w:r>
        <w:rPr>
          <w:rFonts w:ascii="Arial" w:eastAsia="Arial" w:hAnsi="Arial" w:cs="Arial"/>
          <w:sz w:val="22"/>
          <w:szCs w:val="22"/>
        </w:rPr>
        <w:t xml:space="preserve">se inserta en un patrón de control coercitivo que busca doblegar la autonomía de las mujeres mediante el uso de los vínculos afectivos más significativos: sus hijas e hijos (Ríos, Alarcón &amp; López, 2024). Su </w:t>
      </w:r>
      <w:proofErr w:type="spellStart"/>
      <w:r>
        <w:rPr>
          <w:rFonts w:ascii="Arial" w:eastAsia="Arial" w:hAnsi="Arial" w:cs="Arial"/>
          <w:sz w:val="22"/>
          <w:szCs w:val="22"/>
        </w:rPr>
        <w:t>invisibilización</w:t>
      </w:r>
      <w:proofErr w:type="spellEnd"/>
      <w:r>
        <w:rPr>
          <w:rFonts w:ascii="Arial" w:eastAsia="Arial" w:hAnsi="Arial" w:cs="Arial"/>
          <w:sz w:val="22"/>
          <w:szCs w:val="22"/>
        </w:rPr>
        <w:t xml:space="preserve"> en las políticas públicas limita la capacidad de prevención y atención oportuna, prolongando sus efectos devastadores en el bienestar psicosocial de las familias.</w:t>
      </w:r>
    </w:p>
    <w:p w14:paraId="3EF8EBA2" w14:textId="77777777" w:rsidR="00F31DD1" w:rsidRDefault="00000000">
      <w:pPr>
        <w:spacing w:before="240" w:after="240"/>
        <w:jc w:val="both"/>
        <w:rPr>
          <w:rFonts w:ascii="Arial" w:eastAsia="Arial" w:hAnsi="Arial" w:cs="Arial"/>
          <w:sz w:val="22"/>
          <w:szCs w:val="22"/>
        </w:rPr>
      </w:pPr>
      <w:r>
        <w:rPr>
          <w:rFonts w:ascii="Arial" w:eastAsia="Arial" w:hAnsi="Arial" w:cs="Arial"/>
          <w:sz w:val="22"/>
          <w:szCs w:val="22"/>
        </w:rPr>
        <w:t xml:space="preserve">Ante esta realidad, se hace urgente que la ciudad adopte un marco normativo específico que reconozca la violencia vicaria como una modalidad diferenciada de violencia de género, y que permita implementar medidas integrales de </w:t>
      </w:r>
      <w:proofErr w:type="spellStart"/>
      <w:r>
        <w:rPr>
          <w:rFonts w:ascii="Arial" w:eastAsia="Arial" w:hAnsi="Arial" w:cs="Arial"/>
          <w:sz w:val="22"/>
          <w:szCs w:val="22"/>
        </w:rPr>
        <w:t>visibilización</w:t>
      </w:r>
      <w:proofErr w:type="spellEnd"/>
      <w:r>
        <w:rPr>
          <w:rFonts w:ascii="Arial" w:eastAsia="Arial" w:hAnsi="Arial" w:cs="Arial"/>
          <w:sz w:val="22"/>
          <w:szCs w:val="22"/>
        </w:rPr>
        <w:t>, prevención y atención. Dichas medidas deben ir desde la sensibilización ciudadana para generar conciencia social sobre su gravedad hasta la capacitación institucional, que dote a operadores de justicia y funcionarios de herramientas técnicas para identificar y actuar con diligencia. Asimismo, es indispensable fortalecer los mecanismos de atención a las víctimas, incorporando un enfoque de género y de derechos humanos que garantice la protección integral de mujeres, niñas, niños y adolescentes, cerrando la puerta a narrativas como la alienación parental, ya descartadas por la jurisprudencia constitucional y la comunidad científica.</w:t>
      </w:r>
    </w:p>
    <w:p w14:paraId="6E7469A9" w14:textId="77777777" w:rsidR="00F31DD1" w:rsidRDefault="00000000">
      <w:pPr>
        <w:jc w:val="both"/>
        <w:rPr>
          <w:rFonts w:ascii="Arial" w:eastAsia="Arial" w:hAnsi="Arial" w:cs="Arial"/>
          <w:sz w:val="22"/>
          <w:szCs w:val="22"/>
        </w:rPr>
      </w:pPr>
      <w:r>
        <w:rPr>
          <w:rFonts w:ascii="Arial" w:eastAsia="Arial" w:hAnsi="Arial" w:cs="Arial"/>
          <w:sz w:val="22"/>
          <w:szCs w:val="22"/>
        </w:rPr>
        <w:t>Ahora bien, aunque no exista aún una tipificación expresa, la jurisprudencia</w:t>
      </w:r>
      <w:r>
        <w:rPr>
          <w:rFonts w:ascii="Arial" w:eastAsia="Arial" w:hAnsi="Arial" w:cs="Arial"/>
          <w:b/>
          <w:sz w:val="22"/>
          <w:szCs w:val="22"/>
        </w:rPr>
        <w:t xml:space="preserve"> colombiana</w:t>
      </w:r>
      <w:r>
        <w:rPr>
          <w:rFonts w:ascii="Arial" w:eastAsia="Arial" w:hAnsi="Arial" w:cs="Arial"/>
          <w:sz w:val="22"/>
          <w:szCs w:val="22"/>
        </w:rPr>
        <w:t xml:space="preserve"> ha dado pasos relevantes en esta materia. La </w:t>
      </w:r>
      <w:r>
        <w:rPr>
          <w:rFonts w:ascii="Arial" w:eastAsia="Arial" w:hAnsi="Arial" w:cs="Arial"/>
          <w:b/>
          <w:sz w:val="22"/>
          <w:szCs w:val="22"/>
        </w:rPr>
        <w:t>Corte Constitucional</w:t>
      </w:r>
      <w:r>
        <w:rPr>
          <w:rFonts w:ascii="Arial" w:eastAsia="Arial" w:hAnsi="Arial" w:cs="Arial"/>
          <w:sz w:val="22"/>
          <w:szCs w:val="22"/>
        </w:rPr>
        <w:t xml:space="preserve"> ha protegido el </w:t>
      </w:r>
      <w:r>
        <w:rPr>
          <w:rFonts w:ascii="Arial" w:eastAsia="Arial" w:hAnsi="Arial" w:cs="Arial"/>
          <w:b/>
          <w:sz w:val="22"/>
          <w:szCs w:val="22"/>
        </w:rPr>
        <w:t>derecho de las mujeres a una vida libre de violencias</w:t>
      </w:r>
      <w:r>
        <w:rPr>
          <w:rFonts w:ascii="Arial" w:eastAsia="Arial" w:hAnsi="Arial" w:cs="Arial"/>
          <w:sz w:val="22"/>
          <w:szCs w:val="22"/>
        </w:rPr>
        <w:t xml:space="preserve"> y llamado a las autoridades a trascender la formalidad, valorar </w:t>
      </w:r>
      <w:r>
        <w:rPr>
          <w:rFonts w:ascii="Arial" w:eastAsia="Arial" w:hAnsi="Arial" w:cs="Arial"/>
          <w:b/>
          <w:sz w:val="22"/>
          <w:szCs w:val="22"/>
        </w:rPr>
        <w:t>indicios de violencia psicológica y económica</w:t>
      </w:r>
      <w:r>
        <w:rPr>
          <w:rFonts w:ascii="Arial" w:eastAsia="Arial" w:hAnsi="Arial" w:cs="Arial"/>
          <w:sz w:val="22"/>
          <w:szCs w:val="22"/>
        </w:rPr>
        <w:t xml:space="preserve">, ha construido una línea jurisprudencial robusta que, por sus principios y reglas, constituye antecedente directo e insoslayable para cualquier norma que se proponga en esta materia. Estos criterios respaldan una política distrital que reconozca e intervenga la violencia vicaria con enfoque de género y de niñez. </w:t>
      </w:r>
    </w:p>
    <w:p w14:paraId="03066100" w14:textId="77777777" w:rsidR="00F31DD1" w:rsidRDefault="00F31DD1">
      <w:pPr>
        <w:jc w:val="both"/>
        <w:rPr>
          <w:rFonts w:ascii="Arial" w:eastAsia="Arial" w:hAnsi="Arial" w:cs="Arial"/>
          <w:sz w:val="22"/>
          <w:szCs w:val="22"/>
        </w:rPr>
      </w:pPr>
    </w:p>
    <w:p w14:paraId="26C3DFFE" w14:textId="77777777" w:rsidR="00F31DD1" w:rsidRDefault="00000000">
      <w:pPr>
        <w:jc w:val="both"/>
        <w:rPr>
          <w:rFonts w:ascii="Arial" w:eastAsia="Arial" w:hAnsi="Arial" w:cs="Arial"/>
          <w:sz w:val="22"/>
          <w:szCs w:val="22"/>
        </w:rPr>
      </w:pPr>
      <w:r>
        <w:rPr>
          <w:rFonts w:ascii="Arial" w:eastAsia="Arial" w:hAnsi="Arial" w:cs="Arial"/>
          <w:sz w:val="22"/>
          <w:szCs w:val="22"/>
        </w:rPr>
        <w:t>Por ejemplo, desde inicios de la década de los 2000, la Corte ha enfatizado que la Violencia Intrafamiliar (VIF) no es un asunto privado sino una manifestación de discriminación y violación de derechos fundamentales.</w:t>
      </w:r>
    </w:p>
    <w:p w14:paraId="4374E672" w14:textId="77777777" w:rsidR="00F31DD1" w:rsidRDefault="00F31DD1">
      <w:pPr>
        <w:jc w:val="both"/>
        <w:rPr>
          <w:rFonts w:ascii="Arial" w:eastAsia="Arial" w:hAnsi="Arial" w:cs="Arial"/>
          <w:sz w:val="22"/>
          <w:szCs w:val="22"/>
        </w:rPr>
      </w:pPr>
    </w:p>
    <w:p w14:paraId="76B985B8" w14:textId="77777777" w:rsidR="00F31DD1" w:rsidRDefault="00000000">
      <w:pPr>
        <w:jc w:val="both"/>
        <w:rPr>
          <w:rFonts w:ascii="Arial" w:eastAsia="Arial" w:hAnsi="Arial" w:cs="Arial"/>
          <w:sz w:val="22"/>
          <w:szCs w:val="22"/>
        </w:rPr>
      </w:pPr>
      <w:r>
        <w:rPr>
          <w:rFonts w:ascii="Arial" w:eastAsia="Arial" w:hAnsi="Arial" w:cs="Arial"/>
          <w:sz w:val="22"/>
          <w:szCs w:val="22"/>
        </w:rPr>
        <w:t xml:space="preserve">Esto en concomitancia con la evolución jurisprudencial sobre </w:t>
      </w:r>
      <w:r>
        <w:rPr>
          <w:rFonts w:ascii="Arial" w:eastAsia="Arial" w:hAnsi="Arial" w:cs="Arial"/>
          <w:b/>
          <w:sz w:val="22"/>
          <w:szCs w:val="22"/>
        </w:rPr>
        <w:t>la perspectiva de género como mandato constitucional, en especial en lo relativo al reconocimiento de las Violencias Basadas en Género (VBG)</w:t>
      </w:r>
      <w:r>
        <w:rPr>
          <w:rFonts w:ascii="Arial" w:eastAsia="Arial" w:hAnsi="Arial" w:cs="Arial"/>
          <w:sz w:val="22"/>
          <w:szCs w:val="22"/>
        </w:rPr>
        <w:t xml:space="preserve"> que se detalla claramente en el apartado de análisis sobre el sustento jurídico de la iniciativa. Allí mismo se muestra cómo el tribunal ha </w:t>
      </w:r>
      <w:r>
        <w:rPr>
          <w:rFonts w:ascii="Arial" w:eastAsia="Arial" w:hAnsi="Arial" w:cs="Arial"/>
          <w:sz w:val="22"/>
          <w:szCs w:val="22"/>
        </w:rPr>
        <w:lastRenderedPageBreak/>
        <w:t>proscrito también las prácticas contrarias a derechos en procesos de custodia, derechos de niños, niñas y adolescentes, y garantías procesales reforzadas.</w:t>
      </w:r>
    </w:p>
    <w:p w14:paraId="464BC9AC" w14:textId="77777777" w:rsidR="00F31DD1" w:rsidRDefault="00F31DD1">
      <w:pPr>
        <w:jc w:val="both"/>
        <w:rPr>
          <w:rFonts w:ascii="Arial" w:eastAsia="Arial" w:hAnsi="Arial" w:cs="Arial"/>
          <w:sz w:val="22"/>
          <w:szCs w:val="22"/>
        </w:rPr>
      </w:pPr>
    </w:p>
    <w:p w14:paraId="64849FA0" w14:textId="77777777" w:rsidR="00F31DD1" w:rsidRDefault="00000000">
      <w:pPr>
        <w:jc w:val="both"/>
        <w:rPr>
          <w:rFonts w:ascii="Arial" w:eastAsia="Arial" w:hAnsi="Arial" w:cs="Arial"/>
          <w:sz w:val="22"/>
          <w:szCs w:val="22"/>
        </w:rPr>
      </w:pPr>
      <w:r>
        <w:rPr>
          <w:rFonts w:ascii="Arial" w:eastAsia="Arial" w:hAnsi="Arial" w:cs="Arial"/>
          <w:sz w:val="22"/>
          <w:szCs w:val="22"/>
        </w:rPr>
        <w:t xml:space="preserve">La importancia de este tema también ha llegado al Congreso de la República, donde se ha discutido un </w:t>
      </w:r>
      <w:r>
        <w:rPr>
          <w:rFonts w:ascii="Arial" w:eastAsia="Arial" w:hAnsi="Arial" w:cs="Arial"/>
          <w:b/>
          <w:sz w:val="22"/>
          <w:szCs w:val="22"/>
        </w:rPr>
        <w:t>proyecto de ley nacional</w:t>
      </w:r>
      <w:r>
        <w:rPr>
          <w:rFonts w:ascii="Arial" w:eastAsia="Arial" w:hAnsi="Arial" w:cs="Arial"/>
          <w:sz w:val="22"/>
          <w:szCs w:val="22"/>
        </w:rPr>
        <w:t xml:space="preserve"> (</w:t>
      </w:r>
      <w:r>
        <w:rPr>
          <w:rFonts w:ascii="Arial" w:eastAsia="Arial" w:hAnsi="Arial" w:cs="Arial"/>
          <w:i/>
          <w:sz w:val="22"/>
          <w:szCs w:val="22"/>
        </w:rPr>
        <w:t xml:space="preserve">Proyecto de Ley No. 2023 Cámara “Por medio del cual se incorpora en el ordenamiento jurídico Colombiano la violencia vicaria, se modifica la Ley 1257 de 2008 y la Ley 2126 de 2021 y se dictan otras disposiciones”) </w:t>
      </w:r>
      <w:r>
        <w:rPr>
          <w:rFonts w:ascii="Arial" w:eastAsia="Arial" w:hAnsi="Arial" w:cs="Arial"/>
          <w:sz w:val="22"/>
          <w:szCs w:val="22"/>
        </w:rPr>
        <w:t xml:space="preserve">para </w:t>
      </w:r>
      <w:r>
        <w:rPr>
          <w:rFonts w:ascii="Arial" w:eastAsia="Arial" w:hAnsi="Arial" w:cs="Arial"/>
          <w:b/>
          <w:sz w:val="22"/>
          <w:szCs w:val="22"/>
        </w:rPr>
        <w:t>incorporar la violencia vicaria</w:t>
      </w:r>
      <w:r>
        <w:rPr>
          <w:rFonts w:ascii="Arial" w:eastAsia="Arial" w:hAnsi="Arial" w:cs="Arial"/>
          <w:sz w:val="22"/>
          <w:szCs w:val="22"/>
        </w:rPr>
        <w:t xml:space="preserve"> en el ordenamiento, señalando su gravedad y efectos en la infancia (incluido el riesgo de feminicidio/infanticidio). Aunque es competencia nacional, su existencia refuerza la necesidad de </w:t>
      </w:r>
      <w:r>
        <w:rPr>
          <w:rFonts w:ascii="Arial" w:eastAsia="Arial" w:hAnsi="Arial" w:cs="Arial"/>
          <w:b/>
          <w:sz w:val="22"/>
          <w:szCs w:val="22"/>
        </w:rPr>
        <w:t>acciones distritales inmediatas</w:t>
      </w:r>
      <w:r>
        <w:rPr>
          <w:rFonts w:ascii="Arial" w:eastAsia="Arial" w:hAnsi="Arial" w:cs="Arial"/>
          <w:sz w:val="22"/>
          <w:szCs w:val="22"/>
        </w:rPr>
        <w:t xml:space="preserve"> (sensibilización, formación a operadores, rutas especializadas) mientras se tramitan definiciones legales.</w:t>
      </w:r>
    </w:p>
    <w:p w14:paraId="4EECBCA7" w14:textId="77777777" w:rsidR="00F31DD1" w:rsidRDefault="00F31DD1">
      <w:pPr>
        <w:jc w:val="both"/>
        <w:rPr>
          <w:rFonts w:ascii="Arial" w:eastAsia="Arial" w:hAnsi="Arial" w:cs="Arial"/>
          <w:sz w:val="22"/>
          <w:szCs w:val="22"/>
        </w:rPr>
      </w:pPr>
    </w:p>
    <w:p w14:paraId="6B0E3259" w14:textId="77777777" w:rsidR="00F31DD1" w:rsidRDefault="00000000">
      <w:pPr>
        <w:jc w:val="both"/>
        <w:rPr>
          <w:rFonts w:ascii="Arial" w:eastAsia="Arial" w:hAnsi="Arial" w:cs="Arial"/>
          <w:sz w:val="22"/>
          <w:szCs w:val="22"/>
        </w:rPr>
      </w:pPr>
      <w:r>
        <w:rPr>
          <w:rFonts w:ascii="Arial" w:eastAsia="Arial" w:hAnsi="Arial" w:cs="Arial"/>
          <w:sz w:val="22"/>
          <w:szCs w:val="22"/>
        </w:rPr>
        <w:t>Actualmente en la Cámara de Representantes también está en trámite el PL 008-2025 “Por medio del cual se incorpora en el ordenamiento jurídico Colombiano la violencia vicaria y se dictan disposiciones en materia de prevención, atención y protección”, planteado como una medida que permitirá no solo reconocer, sino prevenir y erradicar este tipo de violencias que configuran violaciones a los derechos humanos de las mujeres y la niñez.</w:t>
      </w:r>
    </w:p>
    <w:p w14:paraId="1AAE7ED0" w14:textId="77777777" w:rsidR="00F31DD1" w:rsidRDefault="00F31DD1">
      <w:pPr>
        <w:jc w:val="both"/>
        <w:rPr>
          <w:rFonts w:ascii="Arial" w:eastAsia="Arial" w:hAnsi="Arial" w:cs="Arial"/>
          <w:sz w:val="22"/>
          <w:szCs w:val="22"/>
        </w:rPr>
      </w:pPr>
    </w:p>
    <w:p w14:paraId="3343BC6B" w14:textId="77777777" w:rsidR="00F31DD1" w:rsidRDefault="00000000">
      <w:pPr>
        <w:jc w:val="both"/>
        <w:rPr>
          <w:rFonts w:ascii="Arial" w:eastAsia="Arial" w:hAnsi="Arial" w:cs="Arial"/>
          <w:sz w:val="22"/>
          <w:szCs w:val="22"/>
        </w:rPr>
      </w:pPr>
      <w:r>
        <w:rPr>
          <w:rFonts w:ascii="Arial" w:eastAsia="Arial" w:hAnsi="Arial" w:cs="Arial"/>
          <w:sz w:val="22"/>
          <w:szCs w:val="22"/>
        </w:rPr>
        <w:t>Todo este acervo jurisprudencial, más los datos reportados por los autores como justificación de la iniciativa normativa sientan las bases legales y fácticas para entender la necesidad de avanzar en medidas integrales contra la violencia vicaria, al tiempo que configuran un marco interpretativo que demostrará la constitucionalidad, aplicabilidad y el alcance de esta y cualquier norma en la materia.</w:t>
      </w:r>
    </w:p>
    <w:p w14:paraId="48A019F4" w14:textId="77777777" w:rsidR="00F31DD1" w:rsidRDefault="00F31DD1">
      <w:pPr>
        <w:jc w:val="both"/>
        <w:rPr>
          <w:rFonts w:ascii="Arial" w:eastAsia="Arial" w:hAnsi="Arial" w:cs="Arial"/>
          <w:sz w:val="22"/>
          <w:szCs w:val="22"/>
        </w:rPr>
      </w:pPr>
    </w:p>
    <w:p w14:paraId="4110919D" w14:textId="77777777" w:rsidR="00F31DD1" w:rsidRDefault="00000000">
      <w:pPr>
        <w:jc w:val="both"/>
        <w:rPr>
          <w:rFonts w:ascii="Arial" w:eastAsia="Arial" w:hAnsi="Arial" w:cs="Arial"/>
          <w:sz w:val="22"/>
          <w:szCs w:val="22"/>
        </w:rPr>
      </w:pPr>
      <w:r>
        <w:rPr>
          <w:rFonts w:ascii="Arial" w:eastAsia="Arial" w:hAnsi="Arial" w:cs="Arial"/>
          <w:sz w:val="22"/>
          <w:szCs w:val="22"/>
        </w:rPr>
        <w:t xml:space="preserve">La iniciativa es necesaria, pertinente y costo-efectiva: responde a cifras locales y nacionales alarmantes; armoniza a Bogotá con estándares internacionales y jurisprudencia constitucional; protege la salud mental y el desarrollo infantil; y reduce riesgos de revictimización en justicia de familia. Declarar un </w:t>
      </w:r>
      <w:r>
        <w:rPr>
          <w:rFonts w:ascii="Arial" w:eastAsia="Arial" w:hAnsi="Arial" w:cs="Arial"/>
          <w:b/>
          <w:sz w:val="22"/>
          <w:szCs w:val="22"/>
        </w:rPr>
        <w:t>Día Distrital contra la Violencia Vicaria</w:t>
      </w:r>
      <w:r>
        <w:rPr>
          <w:rFonts w:ascii="Arial" w:eastAsia="Arial" w:hAnsi="Arial" w:cs="Arial"/>
          <w:sz w:val="22"/>
          <w:szCs w:val="22"/>
        </w:rPr>
        <w:t xml:space="preserve">, desplegar </w:t>
      </w:r>
      <w:r>
        <w:rPr>
          <w:rFonts w:ascii="Arial" w:eastAsia="Arial" w:hAnsi="Arial" w:cs="Arial"/>
          <w:b/>
          <w:sz w:val="22"/>
          <w:szCs w:val="22"/>
        </w:rPr>
        <w:t>campañas pedagógicas</w:t>
      </w:r>
      <w:r>
        <w:rPr>
          <w:rFonts w:ascii="Arial" w:eastAsia="Arial" w:hAnsi="Arial" w:cs="Arial"/>
          <w:sz w:val="22"/>
          <w:szCs w:val="22"/>
        </w:rPr>
        <w:t xml:space="preserve">, </w:t>
      </w:r>
      <w:r>
        <w:rPr>
          <w:rFonts w:ascii="Arial" w:eastAsia="Arial" w:hAnsi="Arial" w:cs="Arial"/>
          <w:b/>
          <w:sz w:val="22"/>
          <w:szCs w:val="22"/>
        </w:rPr>
        <w:t>capacitación interinstitucional</w:t>
      </w:r>
      <w:r>
        <w:rPr>
          <w:rFonts w:ascii="Arial" w:eastAsia="Arial" w:hAnsi="Arial" w:cs="Arial"/>
          <w:sz w:val="22"/>
          <w:szCs w:val="22"/>
        </w:rPr>
        <w:t xml:space="preserve"> y </w:t>
      </w:r>
      <w:r>
        <w:rPr>
          <w:rFonts w:ascii="Arial" w:eastAsia="Arial" w:hAnsi="Arial" w:cs="Arial"/>
          <w:b/>
          <w:sz w:val="22"/>
          <w:szCs w:val="22"/>
        </w:rPr>
        <w:t>rutas de atención especializadas</w:t>
      </w:r>
      <w:r>
        <w:rPr>
          <w:rFonts w:ascii="Arial" w:eastAsia="Arial" w:hAnsi="Arial" w:cs="Arial"/>
          <w:sz w:val="22"/>
          <w:szCs w:val="22"/>
        </w:rPr>
        <w:t xml:space="preserve"> permitirá </w:t>
      </w:r>
      <w:r>
        <w:rPr>
          <w:rFonts w:ascii="Arial" w:eastAsia="Arial" w:hAnsi="Arial" w:cs="Arial"/>
          <w:b/>
          <w:sz w:val="22"/>
          <w:szCs w:val="22"/>
        </w:rPr>
        <w:t>prevenir, identificar y atender</w:t>
      </w:r>
      <w:r>
        <w:rPr>
          <w:rFonts w:ascii="Arial" w:eastAsia="Arial" w:hAnsi="Arial" w:cs="Arial"/>
          <w:sz w:val="22"/>
          <w:szCs w:val="22"/>
        </w:rPr>
        <w:t xml:space="preserve"> de manera oportuna esta forma de violencia, priorizando la seguridad de mujeres, niñas y niños.</w:t>
      </w:r>
    </w:p>
    <w:p w14:paraId="33AF040F" w14:textId="77777777" w:rsidR="00F31DD1" w:rsidRDefault="00000000">
      <w:pPr>
        <w:spacing w:before="240" w:after="240" w:line="256" w:lineRule="auto"/>
        <w:jc w:val="both"/>
        <w:rPr>
          <w:rFonts w:ascii="Arial" w:eastAsia="Arial" w:hAnsi="Arial" w:cs="Arial"/>
          <w:i/>
          <w:sz w:val="22"/>
          <w:szCs w:val="22"/>
        </w:rPr>
      </w:pPr>
      <w:r>
        <w:rPr>
          <w:rFonts w:ascii="Arial" w:eastAsia="Arial" w:hAnsi="Arial" w:cs="Arial"/>
          <w:sz w:val="22"/>
          <w:szCs w:val="22"/>
        </w:rPr>
        <w:t>Por las consideraciones anteriores, nos permitimos rendir PONENCIA POSITIVA CON MODIFICACIONES para primer debate al Proyecto de Acuerdo No. 764 de 2025,</w:t>
      </w:r>
      <w:r>
        <w:rPr>
          <w:rFonts w:ascii="Arial" w:eastAsia="Arial" w:hAnsi="Arial" w:cs="Arial"/>
          <w:i/>
          <w:sz w:val="22"/>
          <w:szCs w:val="22"/>
        </w:rPr>
        <w:t>“Por medio del cual se establece el día distrital contra la violencia vicaria y se implementan acciones para su prevención, sensibilización y atención en el Distrito Capital”.</w:t>
      </w:r>
    </w:p>
    <w:p w14:paraId="5C3B8CFD" w14:textId="77777777" w:rsidR="00F31DD1" w:rsidRDefault="00000000">
      <w:pPr>
        <w:numPr>
          <w:ilvl w:val="0"/>
          <w:numId w:val="1"/>
        </w:numPr>
        <w:jc w:val="both"/>
        <w:rPr>
          <w:rFonts w:ascii="Arial" w:eastAsia="Arial" w:hAnsi="Arial" w:cs="Arial"/>
          <w:b/>
          <w:sz w:val="22"/>
          <w:szCs w:val="22"/>
        </w:rPr>
      </w:pPr>
      <w:r>
        <w:rPr>
          <w:rFonts w:ascii="Arial" w:eastAsia="Arial" w:hAnsi="Arial" w:cs="Arial"/>
          <w:b/>
          <w:sz w:val="22"/>
          <w:szCs w:val="22"/>
        </w:rPr>
        <w:t>IMPACTO FISCAL</w:t>
      </w:r>
    </w:p>
    <w:p w14:paraId="739CA212" w14:textId="77777777" w:rsidR="00F31DD1" w:rsidRDefault="00000000">
      <w:pPr>
        <w:spacing w:before="240" w:after="240" w:line="276" w:lineRule="auto"/>
        <w:jc w:val="both"/>
        <w:rPr>
          <w:rFonts w:ascii="Arial" w:eastAsia="Arial" w:hAnsi="Arial" w:cs="Arial"/>
          <w:sz w:val="22"/>
          <w:szCs w:val="22"/>
        </w:rPr>
      </w:pPr>
      <w:r>
        <w:rPr>
          <w:rFonts w:ascii="Arial" w:eastAsia="Arial" w:hAnsi="Arial" w:cs="Arial"/>
          <w:sz w:val="22"/>
          <w:szCs w:val="22"/>
        </w:rPr>
        <w:t xml:space="preserve">Los autores de la iniciativa manifiestan que la presente iniciativa no genera un impacto fiscal. En nuestro concepto, si bien no es incremental que implique una modificación al marco fiscal de mediano plazo, si puede ser un impacto fiscal neutro, en la medida en que los recursos necesarios estarían incluidos en la apropiación presupuestal asociada a las metas del Plan Distrital de Desarrollo vigente que ya se han detallado en el apartado 4.6.2 de este documento. En otras palabras, la implementación del proyecto de acuerdo puede </w:t>
      </w:r>
      <w:r>
        <w:rPr>
          <w:rFonts w:ascii="Arial" w:eastAsia="Arial" w:hAnsi="Arial" w:cs="Arial"/>
          <w:sz w:val="22"/>
          <w:szCs w:val="22"/>
        </w:rPr>
        <w:lastRenderedPageBreak/>
        <w:t xml:space="preserve">costearse con reorientación de recursos de inversión y funcionamiento de los sectores implicados, sin afectar el cumplimiento de metas, y mediante los que se puedan conseguir por cooperación nacional e internacional, con la academia y </w:t>
      </w:r>
      <w:proofErr w:type="spellStart"/>
      <w:r>
        <w:rPr>
          <w:rFonts w:ascii="Arial" w:eastAsia="Arial" w:hAnsi="Arial" w:cs="Arial"/>
          <w:sz w:val="22"/>
          <w:szCs w:val="22"/>
        </w:rPr>
        <w:t>ONGs</w:t>
      </w:r>
      <w:proofErr w:type="spellEnd"/>
      <w:r>
        <w:rPr>
          <w:rFonts w:ascii="Arial" w:eastAsia="Arial" w:hAnsi="Arial" w:cs="Arial"/>
          <w:sz w:val="22"/>
          <w:szCs w:val="22"/>
        </w:rPr>
        <w:t>.</w:t>
      </w:r>
    </w:p>
    <w:p w14:paraId="5B027669" w14:textId="77777777" w:rsidR="00F31DD1" w:rsidRDefault="00F31DD1">
      <w:pPr>
        <w:jc w:val="both"/>
        <w:rPr>
          <w:rFonts w:ascii="Arial" w:eastAsia="Arial" w:hAnsi="Arial" w:cs="Arial"/>
          <w:b/>
          <w:sz w:val="22"/>
          <w:szCs w:val="22"/>
        </w:rPr>
      </w:pPr>
    </w:p>
    <w:p w14:paraId="08858D50" w14:textId="77777777" w:rsidR="00F31DD1" w:rsidRDefault="00000000">
      <w:pPr>
        <w:numPr>
          <w:ilvl w:val="0"/>
          <w:numId w:val="1"/>
        </w:numPr>
        <w:jc w:val="both"/>
        <w:rPr>
          <w:rFonts w:ascii="Arial" w:eastAsia="Arial" w:hAnsi="Arial" w:cs="Arial"/>
          <w:b/>
          <w:sz w:val="22"/>
          <w:szCs w:val="22"/>
        </w:rPr>
      </w:pPr>
      <w:r>
        <w:rPr>
          <w:rFonts w:ascii="Arial" w:eastAsia="Arial" w:hAnsi="Arial" w:cs="Arial"/>
          <w:b/>
          <w:sz w:val="22"/>
          <w:szCs w:val="22"/>
        </w:rPr>
        <w:t>AJUSTES AL ARTICULADO</w:t>
      </w:r>
    </w:p>
    <w:p w14:paraId="068AF083" w14:textId="77777777" w:rsidR="00F31DD1" w:rsidRDefault="00F31DD1">
      <w:pPr>
        <w:ind w:left="720"/>
        <w:jc w:val="both"/>
        <w:rPr>
          <w:rFonts w:ascii="Arial" w:eastAsia="Arial" w:hAnsi="Arial" w:cs="Arial"/>
          <w:b/>
          <w:sz w:val="22"/>
          <w:szCs w:val="22"/>
        </w:rPr>
      </w:pPr>
    </w:p>
    <w:p w14:paraId="1B3978C8" w14:textId="77777777" w:rsidR="00F31DD1" w:rsidRDefault="00000000">
      <w:pPr>
        <w:jc w:val="both"/>
        <w:rPr>
          <w:rFonts w:ascii="Arial" w:eastAsia="Arial" w:hAnsi="Arial" w:cs="Arial"/>
          <w:sz w:val="22"/>
          <w:szCs w:val="22"/>
        </w:rPr>
      </w:pPr>
      <w:r>
        <w:rPr>
          <w:rFonts w:ascii="Arial" w:eastAsia="Arial" w:hAnsi="Arial" w:cs="Arial"/>
          <w:sz w:val="22"/>
          <w:szCs w:val="22"/>
        </w:rPr>
        <w:t>Se propone el siguiente ajuste al articulado del proyecto:</w:t>
      </w:r>
    </w:p>
    <w:p w14:paraId="06DB4410" w14:textId="77777777" w:rsidR="00F31DD1" w:rsidRDefault="00F31DD1">
      <w:pPr>
        <w:jc w:val="both"/>
        <w:rPr>
          <w:rFonts w:ascii="Arial" w:eastAsia="Arial" w:hAnsi="Arial" w:cs="Arial"/>
          <w:sz w:val="22"/>
          <w:szCs w:val="22"/>
        </w:rPr>
      </w:pPr>
    </w:p>
    <w:tbl>
      <w:tblPr>
        <w:tblStyle w:val="ab"/>
        <w:tblW w:w="882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10"/>
        <w:gridCol w:w="3015"/>
        <w:gridCol w:w="2895"/>
      </w:tblGrid>
      <w:tr w:rsidR="00F31DD1" w14:paraId="305FC517" w14:textId="77777777">
        <w:tc>
          <w:tcPr>
            <w:tcW w:w="2910" w:type="dxa"/>
          </w:tcPr>
          <w:p w14:paraId="24CEBE28" w14:textId="77777777" w:rsidR="00F31DD1" w:rsidRDefault="00000000">
            <w:pPr>
              <w:widowControl w:val="0"/>
              <w:pBdr>
                <w:top w:val="nil"/>
                <w:left w:val="nil"/>
                <w:bottom w:val="nil"/>
                <w:right w:val="nil"/>
                <w:between w:val="nil"/>
              </w:pBdr>
              <w:jc w:val="center"/>
              <w:rPr>
                <w:rFonts w:ascii="Arial" w:eastAsia="Arial" w:hAnsi="Arial" w:cs="Arial"/>
                <w:b/>
                <w:sz w:val="22"/>
                <w:szCs w:val="22"/>
              </w:rPr>
            </w:pPr>
            <w:r>
              <w:rPr>
                <w:rFonts w:ascii="Arial" w:eastAsia="Arial" w:hAnsi="Arial" w:cs="Arial"/>
                <w:b/>
                <w:sz w:val="22"/>
                <w:szCs w:val="22"/>
              </w:rPr>
              <w:t>Texto original</w:t>
            </w:r>
          </w:p>
        </w:tc>
        <w:tc>
          <w:tcPr>
            <w:tcW w:w="3015" w:type="dxa"/>
          </w:tcPr>
          <w:p w14:paraId="2A61BBAE" w14:textId="77777777" w:rsidR="00F31DD1" w:rsidRDefault="00000000">
            <w:pPr>
              <w:widowControl w:val="0"/>
              <w:pBdr>
                <w:top w:val="nil"/>
                <w:left w:val="nil"/>
                <w:bottom w:val="nil"/>
                <w:right w:val="nil"/>
                <w:between w:val="nil"/>
              </w:pBdr>
              <w:jc w:val="center"/>
              <w:rPr>
                <w:rFonts w:ascii="Arial" w:eastAsia="Arial" w:hAnsi="Arial" w:cs="Arial"/>
                <w:b/>
                <w:sz w:val="22"/>
                <w:szCs w:val="22"/>
              </w:rPr>
            </w:pPr>
            <w:r>
              <w:rPr>
                <w:rFonts w:ascii="Arial" w:eastAsia="Arial" w:hAnsi="Arial" w:cs="Arial"/>
                <w:b/>
                <w:sz w:val="22"/>
                <w:szCs w:val="22"/>
              </w:rPr>
              <w:t>Ajustes</w:t>
            </w:r>
          </w:p>
        </w:tc>
        <w:tc>
          <w:tcPr>
            <w:tcW w:w="2895" w:type="dxa"/>
          </w:tcPr>
          <w:p w14:paraId="0269D011" w14:textId="77777777" w:rsidR="00F31DD1" w:rsidRDefault="00000000">
            <w:pPr>
              <w:widowControl w:val="0"/>
              <w:pBdr>
                <w:top w:val="nil"/>
                <w:left w:val="nil"/>
                <w:bottom w:val="nil"/>
                <w:right w:val="nil"/>
                <w:between w:val="nil"/>
              </w:pBdr>
              <w:jc w:val="center"/>
              <w:rPr>
                <w:rFonts w:ascii="Arial" w:eastAsia="Arial" w:hAnsi="Arial" w:cs="Arial"/>
                <w:b/>
                <w:sz w:val="22"/>
                <w:szCs w:val="22"/>
              </w:rPr>
            </w:pPr>
            <w:r>
              <w:rPr>
                <w:rFonts w:ascii="Arial" w:eastAsia="Arial" w:hAnsi="Arial" w:cs="Arial"/>
                <w:b/>
                <w:sz w:val="22"/>
                <w:szCs w:val="22"/>
              </w:rPr>
              <w:t>Justificación</w:t>
            </w:r>
          </w:p>
        </w:tc>
      </w:tr>
      <w:tr w:rsidR="00F31DD1" w14:paraId="21413684" w14:textId="77777777">
        <w:tc>
          <w:tcPr>
            <w:tcW w:w="2910" w:type="dxa"/>
          </w:tcPr>
          <w:p w14:paraId="6518BD93" w14:textId="77777777" w:rsidR="00F31DD1" w:rsidRDefault="00000000">
            <w:pPr>
              <w:pStyle w:val="Ttulo3"/>
              <w:widowControl w:val="0"/>
              <w:tabs>
                <w:tab w:val="left" w:pos="3576"/>
                <w:tab w:val="left" w:pos="5617"/>
              </w:tabs>
              <w:spacing w:before="240"/>
              <w:jc w:val="both"/>
              <w:rPr>
                <w:rFonts w:ascii="Arial" w:eastAsia="Arial" w:hAnsi="Arial" w:cs="Arial"/>
                <w:b w:val="0"/>
                <w:sz w:val="22"/>
                <w:szCs w:val="22"/>
              </w:rPr>
            </w:pPr>
            <w:bookmarkStart w:id="18" w:name="_heading=h.hvd464fijqew" w:colFirst="0" w:colLast="0"/>
            <w:bookmarkEnd w:id="18"/>
            <w:r>
              <w:rPr>
                <w:rFonts w:ascii="Arial" w:eastAsia="Arial" w:hAnsi="Arial" w:cs="Arial"/>
                <w:b w:val="0"/>
                <w:sz w:val="22"/>
                <w:szCs w:val="22"/>
              </w:rPr>
              <w:t>"Por medio del cual se establece el día distrital contra la violencia vicaria y se implementan acciones para su prevención, sensibilización y atención en el distrito capital"</w:t>
            </w:r>
          </w:p>
        </w:tc>
        <w:tc>
          <w:tcPr>
            <w:tcW w:w="3015" w:type="dxa"/>
          </w:tcPr>
          <w:p w14:paraId="012DA66B" w14:textId="77777777" w:rsidR="00F31DD1" w:rsidRDefault="00000000">
            <w:pPr>
              <w:pStyle w:val="Ttulo3"/>
              <w:widowControl w:val="0"/>
              <w:tabs>
                <w:tab w:val="left" w:pos="3576"/>
                <w:tab w:val="left" w:pos="5617"/>
              </w:tabs>
              <w:spacing w:before="240"/>
              <w:jc w:val="both"/>
              <w:rPr>
                <w:rFonts w:ascii="Arial" w:eastAsia="Arial" w:hAnsi="Arial" w:cs="Arial"/>
                <w:b w:val="0"/>
                <w:sz w:val="22"/>
                <w:szCs w:val="22"/>
              </w:rPr>
            </w:pPr>
            <w:bookmarkStart w:id="19" w:name="_heading=h.prd2e4yo4t48" w:colFirst="0" w:colLast="0"/>
            <w:bookmarkEnd w:id="19"/>
            <w:r>
              <w:rPr>
                <w:rFonts w:ascii="Arial" w:eastAsia="Arial" w:hAnsi="Arial" w:cs="Arial"/>
                <w:b w:val="0"/>
                <w:sz w:val="22"/>
                <w:szCs w:val="22"/>
              </w:rPr>
              <w:t xml:space="preserve">"Por medio del cual se establece el </w:t>
            </w:r>
            <w:r>
              <w:rPr>
                <w:rFonts w:ascii="Arial" w:eastAsia="Arial" w:hAnsi="Arial" w:cs="Arial"/>
                <w:sz w:val="22"/>
                <w:szCs w:val="22"/>
              </w:rPr>
              <w:t>D</w:t>
            </w:r>
            <w:r>
              <w:rPr>
                <w:rFonts w:ascii="Arial" w:eastAsia="Arial" w:hAnsi="Arial" w:cs="Arial"/>
                <w:b w:val="0"/>
                <w:sz w:val="22"/>
                <w:szCs w:val="22"/>
              </w:rPr>
              <w:t xml:space="preserve">ía </w:t>
            </w:r>
            <w:r>
              <w:rPr>
                <w:rFonts w:ascii="Arial" w:eastAsia="Arial" w:hAnsi="Arial" w:cs="Arial"/>
                <w:sz w:val="22"/>
                <w:szCs w:val="22"/>
              </w:rPr>
              <w:t>D</w:t>
            </w:r>
            <w:r>
              <w:rPr>
                <w:rFonts w:ascii="Arial" w:eastAsia="Arial" w:hAnsi="Arial" w:cs="Arial"/>
                <w:b w:val="0"/>
                <w:sz w:val="22"/>
                <w:szCs w:val="22"/>
              </w:rPr>
              <w:t xml:space="preserve">istrital </w:t>
            </w:r>
            <w:r>
              <w:rPr>
                <w:rFonts w:ascii="Arial" w:eastAsia="Arial" w:hAnsi="Arial" w:cs="Arial"/>
                <w:sz w:val="22"/>
                <w:szCs w:val="22"/>
              </w:rPr>
              <w:t>C</w:t>
            </w:r>
            <w:r>
              <w:rPr>
                <w:rFonts w:ascii="Arial" w:eastAsia="Arial" w:hAnsi="Arial" w:cs="Arial"/>
                <w:b w:val="0"/>
                <w:sz w:val="22"/>
                <w:szCs w:val="22"/>
              </w:rPr>
              <w:t xml:space="preserve">ontra la </w:t>
            </w:r>
            <w:r>
              <w:rPr>
                <w:rFonts w:ascii="Arial" w:eastAsia="Arial" w:hAnsi="Arial" w:cs="Arial"/>
                <w:sz w:val="22"/>
                <w:szCs w:val="22"/>
              </w:rPr>
              <w:t>V</w:t>
            </w:r>
            <w:r>
              <w:rPr>
                <w:rFonts w:ascii="Arial" w:eastAsia="Arial" w:hAnsi="Arial" w:cs="Arial"/>
                <w:b w:val="0"/>
                <w:sz w:val="22"/>
                <w:szCs w:val="22"/>
              </w:rPr>
              <w:t xml:space="preserve">iolencia </w:t>
            </w:r>
            <w:r>
              <w:rPr>
                <w:rFonts w:ascii="Arial" w:eastAsia="Arial" w:hAnsi="Arial" w:cs="Arial"/>
                <w:sz w:val="22"/>
                <w:szCs w:val="22"/>
              </w:rPr>
              <w:t>V</w:t>
            </w:r>
            <w:r>
              <w:rPr>
                <w:rFonts w:ascii="Arial" w:eastAsia="Arial" w:hAnsi="Arial" w:cs="Arial"/>
                <w:b w:val="0"/>
                <w:sz w:val="22"/>
                <w:szCs w:val="22"/>
              </w:rPr>
              <w:t xml:space="preserve">icaria y se implementan acciones para su prevención, sensibilización y atención en el </w:t>
            </w:r>
            <w:r>
              <w:rPr>
                <w:rFonts w:ascii="Arial" w:eastAsia="Arial" w:hAnsi="Arial" w:cs="Arial"/>
                <w:sz w:val="22"/>
                <w:szCs w:val="22"/>
              </w:rPr>
              <w:t>D</w:t>
            </w:r>
            <w:r>
              <w:rPr>
                <w:rFonts w:ascii="Arial" w:eastAsia="Arial" w:hAnsi="Arial" w:cs="Arial"/>
                <w:b w:val="0"/>
                <w:sz w:val="22"/>
                <w:szCs w:val="22"/>
              </w:rPr>
              <w:t xml:space="preserve">istrito </w:t>
            </w:r>
            <w:r>
              <w:rPr>
                <w:rFonts w:ascii="Arial" w:eastAsia="Arial" w:hAnsi="Arial" w:cs="Arial"/>
                <w:sz w:val="22"/>
                <w:szCs w:val="22"/>
              </w:rPr>
              <w:t>C</w:t>
            </w:r>
            <w:r>
              <w:rPr>
                <w:rFonts w:ascii="Arial" w:eastAsia="Arial" w:hAnsi="Arial" w:cs="Arial"/>
                <w:b w:val="0"/>
                <w:sz w:val="22"/>
                <w:szCs w:val="22"/>
              </w:rPr>
              <w:t>apital"</w:t>
            </w:r>
          </w:p>
        </w:tc>
        <w:tc>
          <w:tcPr>
            <w:tcW w:w="2895" w:type="dxa"/>
          </w:tcPr>
          <w:p w14:paraId="4F560D91" w14:textId="77777777" w:rsidR="00F31DD1" w:rsidRDefault="00F31DD1">
            <w:pPr>
              <w:widowControl w:val="0"/>
              <w:pBdr>
                <w:top w:val="nil"/>
                <w:left w:val="nil"/>
                <w:bottom w:val="nil"/>
                <w:right w:val="nil"/>
                <w:between w:val="nil"/>
              </w:pBdr>
              <w:jc w:val="both"/>
              <w:rPr>
                <w:rFonts w:ascii="Arial" w:eastAsia="Arial" w:hAnsi="Arial" w:cs="Arial"/>
                <w:sz w:val="22"/>
                <w:szCs w:val="22"/>
              </w:rPr>
            </w:pPr>
          </w:p>
          <w:p w14:paraId="33536472" w14:textId="77777777" w:rsidR="00F31DD1" w:rsidRDefault="00000000">
            <w:pPr>
              <w:widowControl w:val="0"/>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Se ajusta redacción.</w:t>
            </w:r>
          </w:p>
        </w:tc>
      </w:tr>
      <w:tr w:rsidR="00F31DD1" w14:paraId="37708616" w14:textId="77777777">
        <w:tc>
          <w:tcPr>
            <w:tcW w:w="2910" w:type="dxa"/>
          </w:tcPr>
          <w:p w14:paraId="5DD53C45" w14:textId="77777777" w:rsidR="00F31DD1" w:rsidRDefault="00000000">
            <w:pPr>
              <w:widowControl w:val="0"/>
              <w:tabs>
                <w:tab w:val="left" w:pos="3576"/>
                <w:tab w:val="left" w:pos="5617"/>
              </w:tabs>
              <w:spacing w:before="240"/>
              <w:jc w:val="both"/>
              <w:rPr>
                <w:rFonts w:ascii="Arial" w:eastAsia="Arial" w:hAnsi="Arial" w:cs="Arial"/>
                <w:sz w:val="22"/>
                <w:szCs w:val="22"/>
              </w:rPr>
            </w:pPr>
            <w:r>
              <w:rPr>
                <w:rFonts w:ascii="Arial" w:eastAsia="Arial" w:hAnsi="Arial" w:cs="Arial"/>
                <w:sz w:val="22"/>
                <w:szCs w:val="22"/>
              </w:rPr>
              <w:t>ARTÍCULO 1. Objeto. El presente Acuerdo tiene por objeto establecer lineamientos para la sensibilización, prevención, atención y erradicación de la violencia vicaria en Bogotá, D. C., reconociéndola como una forma de violencia basada en género que afecta principalmente a mujeres.</w:t>
            </w:r>
          </w:p>
        </w:tc>
        <w:tc>
          <w:tcPr>
            <w:tcW w:w="3015" w:type="dxa"/>
          </w:tcPr>
          <w:p w14:paraId="5876067F" w14:textId="34C0BCA1" w:rsidR="00F31DD1" w:rsidRDefault="00000000">
            <w:pPr>
              <w:widowControl w:val="0"/>
              <w:tabs>
                <w:tab w:val="left" w:pos="3576"/>
                <w:tab w:val="left" w:pos="5617"/>
              </w:tabs>
              <w:spacing w:before="240"/>
              <w:jc w:val="both"/>
              <w:rPr>
                <w:rFonts w:ascii="Arial" w:eastAsia="Arial" w:hAnsi="Arial" w:cs="Arial"/>
                <w:b/>
                <w:strike/>
                <w:color w:val="FF0000"/>
                <w:sz w:val="22"/>
                <w:szCs w:val="22"/>
              </w:rPr>
            </w:pPr>
            <w:r>
              <w:rPr>
                <w:rFonts w:ascii="Arial" w:eastAsia="Arial" w:hAnsi="Arial" w:cs="Arial"/>
                <w:sz w:val="22"/>
                <w:szCs w:val="22"/>
              </w:rPr>
              <w:t xml:space="preserve">ARTÍCULO 1. Objeto. El presente Acuerdo tiene por objeto establecer lineamientos para la sensibilización, prevención, atención y erradicación de la violencia vicaria en Bogotá, D. C., </w:t>
            </w:r>
            <w:r>
              <w:rPr>
                <w:rFonts w:ascii="Arial" w:eastAsia="Arial" w:hAnsi="Arial" w:cs="Arial"/>
                <w:b/>
                <w:sz w:val="22"/>
                <w:szCs w:val="22"/>
              </w:rPr>
              <w:t>reconociendo</w:t>
            </w:r>
            <w:r w:rsidR="00B45D75">
              <w:rPr>
                <w:rFonts w:ascii="Arial" w:eastAsia="Arial" w:hAnsi="Arial" w:cs="Arial"/>
                <w:b/>
                <w:sz w:val="22"/>
                <w:szCs w:val="22"/>
              </w:rPr>
              <w:t xml:space="preserve"> </w:t>
            </w:r>
            <w:r>
              <w:rPr>
                <w:rFonts w:ascii="Arial" w:eastAsia="Arial" w:hAnsi="Arial" w:cs="Arial"/>
                <w:b/>
                <w:strike/>
                <w:sz w:val="22"/>
                <w:szCs w:val="22"/>
              </w:rPr>
              <w:t>la</w:t>
            </w:r>
            <w:r>
              <w:rPr>
                <w:rFonts w:ascii="Arial" w:eastAsia="Arial" w:hAnsi="Arial" w:cs="Arial"/>
                <w:b/>
                <w:sz w:val="22"/>
                <w:szCs w:val="22"/>
              </w:rPr>
              <w:t xml:space="preserve"> esta</w:t>
            </w:r>
            <w:r>
              <w:rPr>
                <w:rFonts w:ascii="Arial" w:eastAsia="Arial" w:hAnsi="Arial" w:cs="Arial"/>
                <w:sz w:val="22"/>
                <w:szCs w:val="22"/>
              </w:rPr>
              <w:t xml:space="preserve"> como una forma de violencia basada en género que afecta principalmente a mujeres.</w:t>
            </w:r>
          </w:p>
        </w:tc>
        <w:tc>
          <w:tcPr>
            <w:tcW w:w="2895" w:type="dxa"/>
          </w:tcPr>
          <w:p w14:paraId="42E41166" w14:textId="77777777" w:rsidR="00F31DD1" w:rsidRDefault="00F31DD1">
            <w:pPr>
              <w:widowControl w:val="0"/>
              <w:jc w:val="both"/>
              <w:rPr>
                <w:rFonts w:ascii="Arial" w:eastAsia="Arial" w:hAnsi="Arial" w:cs="Arial"/>
                <w:sz w:val="22"/>
                <w:szCs w:val="22"/>
              </w:rPr>
            </w:pPr>
          </w:p>
          <w:p w14:paraId="427C5909" w14:textId="77777777" w:rsidR="00F31DD1" w:rsidRDefault="00000000">
            <w:pPr>
              <w:widowControl w:val="0"/>
              <w:jc w:val="both"/>
              <w:rPr>
                <w:rFonts w:ascii="Arial" w:eastAsia="Arial" w:hAnsi="Arial" w:cs="Arial"/>
                <w:sz w:val="22"/>
                <w:szCs w:val="22"/>
              </w:rPr>
            </w:pPr>
            <w:r>
              <w:rPr>
                <w:rFonts w:ascii="Arial" w:eastAsia="Arial" w:hAnsi="Arial" w:cs="Arial"/>
                <w:sz w:val="22"/>
                <w:szCs w:val="22"/>
              </w:rPr>
              <w:t xml:space="preserve">Se realiza modificación de forma en la redacción del Artículo. </w:t>
            </w:r>
          </w:p>
        </w:tc>
      </w:tr>
      <w:tr w:rsidR="00F31DD1" w14:paraId="2D4A4C63" w14:textId="77777777">
        <w:trPr>
          <w:trHeight w:val="3380"/>
        </w:trPr>
        <w:tc>
          <w:tcPr>
            <w:tcW w:w="2910" w:type="dxa"/>
          </w:tcPr>
          <w:p w14:paraId="72D4CF55" w14:textId="77777777" w:rsidR="00F31DD1" w:rsidRDefault="00000000">
            <w:pPr>
              <w:keepLines/>
              <w:widowControl w:val="0"/>
              <w:tabs>
                <w:tab w:val="left" w:pos="3576"/>
                <w:tab w:val="left" w:pos="5617"/>
              </w:tabs>
              <w:spacing w:before="240"/>
              <w:jc w:val="both"/>
              <w:rPr>
                <w:rFonts w:ascii="Arial" w:eastAsia="Arial" w:hAnsi="Arial" w:cs="Arial"/>
                <w:sz w:val="22"/>
                <w:szCs w:val="22"/>
              </w:rPr>
            </w:pPr>
            <w:r>
              <w:rPr>
                <w:rFonts w:ascii="Arial" w:eastAsia="Arial" w:hAnsi="Arial" w:cs="Arial"/>
                <w:sz w:val="22"/>
                <w:szCs w:val="22"/>
              </w:rPr>
              <w:t>ARTÍCULO 2. Día Distrital contra la Violencia Vicaria. Se establece el 11 de mayo de cada año como el Día Distrital contra la Violencia Vicaria, con el objetivo de sensibilizar a la ciudadanía y promover acciones para la prevención y erradicación de esta forma de violencia en Bogotá, D.C.</w:t>
            </w:r>
          </w:p>
        </w:tc>
        <w:tc>
          <w:tcPr>
            <w:tcW w:w="3015" w:type="dxa"/>
          </w:tcPr>
          <w:p w14:paraId="6922EBCF" w14:textId="77777777" w:rsidR="00F31DD1" w:rsidRDefault="00000000">
            <w:pPr>
              <w:keepLines/>
              <w:widowControl w:val="0"/>
              <w:tabs>
                <w:tab w:val="left" w:pos="3576"/>
                <w:tab w:val="left" w:pos="5617"/>
              </w:tabs>
              <w:spacing w:before="240"/>
              <w:jc w:val="both"/>
              <w:rPr>
                <w:rFonts w:ascii="Arial" w:eastAsia="Arial" w:hAnsi="Arial" w:cs="Arial"/>
                <w:sz w:val="22"/>
                <w:szCs w:val="22"/>
              </w:rPr>
            </w:pPr>
            <w:r>
              <w:rPr>
                <w:rFonts w:ascii="Arial" w:eastAsia="Arial" w:hAnsi="Arial" w:cs="Arial"/>
                <w:sz w:val="22"/>
                <w:szCs w:val="22"/>
              </w:rPr>
              <w:t xml:space="preserve">ARTÍCULO 2. Día Distrital contra la Violencia Vicaria. </w:t>
            </w:r>
            <w:r>
              <w:rPr>
                <w:rFonts w:ascii="Arial" w:eastAsia="Arial" w:hAnsi="Arial" w:cs="Arial"/>
                <w:b/>
                <w:sz w:val="22"/>
                <w:szCs w:val="22"/>
              </w:rPr>
              <w:t xml:space="preserve">Declárase </w:t>
            </w:r>
            <w:r>
              <w:rPr>
                <w:rFonts w:ascii="Arial" w:eastAsia="Arial" w:hAnsi="Arial" w:cs="Arial"/>
                <w:b/>
                <w:strike/>
                <w:sz w:val="22"/>
                <w:szCs w:val="22"/>
              </w:rPr>
              <w:t>Se establece</w:t>
            </w:r>
            <w:r>
              <w:rPr>
                <w:rFonts w:ascii="Arial" w:eastAsia="Arial" w:hAnsi="Arial" w:cs="Arial"/>
                <w:sz w:val="22"/>
                <w:szCs w:val="22"/>
              </w:rPr>
              <w:t xml:space="preserve"> el 11 de mayo de cada año como el Día Distrital contra la Violencia Vicaria, con el objetivo de sensibilizar a la ciudadanía y promover acciones para la prevención y erradicación de esta forma de violencia en Bogotá, D.C.</w:t>
            </w:r>
          </w:p>
        </w:tc>
        <w:tc>
          <w:tcPr>
            <w:tcW w:w="2895" w:type="dxa"/>
          </w:tcPr>
          <w:p w14:paraId="7BBD4ED2" w14:textId="77777777" w:rsidR="00F31DD1" w:rsidRDefault="00F31DD1">
            <w:pPr>
              <w:widowControl w:val="0"/>
              <w:jc w:val="both"/>
              <w:rPr>
                <w:rFonts w:ascii="Arial" w:eastAsia="Arial" w:hAnsi="Arial" w:cs="Arial"/>
                <w:sz w:val="22"/>
                <w:szCs w:val="22"/>
              </w:rPr>
            </w:pPr>
          </w:p>
          <w:p w14:paraId="2885BA56" w14:textId="77777777" w:rsidR="00F31DD1" w:rsidRDefault="00000000">
            <w:pPr>
              <w:widowControl w:val="0"/>
              <w:jc w:val="both"/>
              <w:rPr>
                <w:rFonts w:ascii="Arial" w:eastAsia="Arial" w:hAnsi="Arial" w:cs="Arial"/>
                <w:sz w:val="22"/>
                <w:szCs w:val="22"/>
              </w:rPr>
            </w:pPr>
            <w:r>
              <w:rPr>
                <w:rFonts w:ascii="Arial" w:eastAsia="Arial" w:hAnsi="Arial" w:cs="Arial"/>
                <w:sz w:val="22"/>
                <w:szCs w:val="22"/>
              </w:rPr>
              <w:t>Se ajusta la redacción en imperativo.</w:t>
            </w:r>
          </w:p>
        </w:tc>
      </w:tr>
      <w:tr w:rsidR="00F31DD1" w14:paraId="7B56ABAE" w14:textId="77777777">
        <w:tc>
          <w:tcPr>
            <w:tcW w:w="2910" w:type="dxa"/>
          </w:tcPr>
          <w:p w14:paraId="16612EF6" w14:textId="77777777" w:rsidR="00F31DD1" w:rsidRDefault="00000000">
            <w:pPr>
              <w:widowControl w:val="0"/>
              <w:tabs>
                <w:tab w:val="left" w:pos="3576"/>
                <w:tab w:val="left" w:pos="5617"/>
              </w:tabs>
              <w:spacing w:before="240"/>
              <w:jc w:val="both"/>
              <w:rPr>
                <w:rFonts w:ascii="Arial" w:eastAsia="Arial" w:hAnsi="Arial" w:cs="Arial"/>
                <w:sz w:val="22"/>
                <w:szCs w:val="22"/>
              </w:rPr>
            </w:pPr>
            <w:r>
              <w:rPr>
                <w:rFonts w:ascii="Arial" w:eastAsia="Arial" w:hAnsi="Arial" w:cs="Arial"/>
                <w:sz w:val="22"/>
                <w:szCs w:val="22"/>
              </w:rPr>
              <w:lastRenderedPageBreak/>
              <w:t>ARTÍCULO 3. Jornadas de sensibilización y prevención. La Secretaría Distrital de la Mujer, en articulación con la Secretaría de Seguridad, Convivencia y Justicia, desarrollará actividades de concienciación y capacitación sobre violencia vicaria en el marco del Día Distrital contra la Violencia Vicaria. Estas actividades incluirán campañas de difusión, foros, conferencias y espacios de diálogo con expertos y organizaciones de la sociedad civil.</w:t>
            </w:r>
          </w:p>
        </w:tc>
        <w:tc>
          <w:tcPr>
            <w:tcW w:w="3015" w:type="dxa"/>
          </w:tcPr>
          <w:p w14:paraId="2953414D" w14:textId="77777777" w:rsidR="00F31DD1" w:rsidRDefault="00000000">
            <w:pPr>
              <w:widowControl w:val="0"/>
              <w:tabs>
                <w:tab w:val="left" w:pos="3576"/>
                <w:tab w:val="left" w:pos="5617"/>
              </w:tabs>
              <w:spacing w:before="240"/>
              <w:jc w:val="both"/>
              <w:rPr>
                <w:rFonts w:ascii="Arial" w:eastAsia="Arial" w:hAnsi="Arial" w:cs="Arial"/>
                <w:sz w:val="22"/>
                <w:szCs w:val="22"/>
              </w:rPr>
            </w:pPr>
            <w:r>
              <w:rPr>
                <w:rFonts w:ascii="Arial" w:eastAsia="Arial" w:hAnsi="Arial" w:cs="Arial"/>
                <w:sz w:val="22"/>
                <w:szCs w:val="22"/>
              </w:rPr>
              <w:t>ARTÍCULO 3. Jornadas de sensibilización y prevención. La Secretaría Distrital de la Mujer, en articulación con la Secretaría de Seguridad, Convivencia y Justicia, desarrollará actividades de concienciación y capacitación sobre violencia vicaria en el marco del Día Distrital contra la Violencia Vicaria. Estas actividades incluirán campañas de difusión, foros, conferencias y espacios de diálogo con expertos y organizaciones de la sociedad civil.</w:t>
            </w:r>
          </w:p>
        </w:tc>
        <w:tc>
          <w:tcPr>
            <w:tcW w:w="2895" w:type="dxa"/>
          </w:tcPr>
          <w:p w14:paraId="79FCE7B5" w14:textId="77777777" w:rsidR="00F31DD1" w:rsidRDefault="00F31DD1">
            <w:pPr>
              <w:widowControl w:val="0"/>
              <w:rPr>
                <w:rFonts w:ascii="Arial" w:eastAsia="Arial" w:hAnsi="Arial" w:cs="Arial"/>
                <w:b/>
                <w:sz w:val="22"/>
                <w:szCs w:val="22"/>
              </w:rPr>
            </w:pPr>
          </w:p>
          <w:p w14:paraId="7652088E" w14:textId="77777777" w:rsidR="00F31DD1" w:rsidRDefault="00000000">
            <w:pPr>
              <w:widowControl w:val="0"/>
              <w:jc w:val="both"/>
              <w:rPr>
                <w:rFonts w:ascii="Arial" w:eastAsia="Arial" w:hAnsi="Arial" w:cs="Arial"/>
                <w:color w:val="FF0000"/>
                <w:sz w:val="22"/>
                <w:szCs w:val="22"/>
              </w:rPr>
            </w:pPr>
            <w:r>
              <w:rPr>
                <w:rFonts w:ascii="Arial" w:eastAsia="Arial" w:hAnsi="Arial" w:cs="Arial"/>
                <w:sz w:val="22"/>
                <w:szCs w:val="22"/>
              </w:rPr>
              <w:t>Sin comentarios</w:t>
            </w:r>
          </w:p>
          <w:p w14:paraId="441F2EE4" w14:textId="77777777" w:rsidR="00F31DD1" w:rsidRDefault="00F31DD1">
            <w:pPr>
              <w:widowControl w:val="0"/>
              <w:rPr>
                <w:rFonts w:ascii="Arial" w:eastAsia="Arial" w:hAnsi="Arial" w:cs="Arial"/>
                <w:b/>
                <w:sz w:val="22"/>
                <w:szCs w:val="22"/>
              </w:rPr>
            </w:pPr>
          </w:p>
        </w:tc>
      </w:tr>
      <w:tr w:rsidR="00F31DD1" w14:paraId="7FAAB46D" w14:textId="77777777">
        <w:tc>
          <w:tcPr>
            <w:tcW w:w="2910" w:type="dxa"/>
          </w:tcPr>
          <w:p w14:paraId="47051DA8" w14:textId="77777777" w:rsidR="00F31DD1" w:rsidRDefault="00000000">
            <w:pPr>
              <w:widowControl w:val="0"/>
              <w:tabs>
                <w:tab w:val="left" w:pos="3576"/>
                <w:tab w:val="left" w:pos="5617"/>
              </w:tabs>
              <w:spacing w:before="240"/>
              <w:jc w:val="both"/>
              <w:rPr>
                <w:rFonts w:ascii="Arial" w:eastAsia="Arial" w:hAnsi="Arial" w:cs="Arial"/>
                <w:sz w:val="22"/>
                <w:szCs w:val="22"/>
              </w:rPr>
            </w:pPr>
            <w:r>
              <w:rPr>
                <w:rFonts w:ascii="Arial" w:eastAsia="Arial" w:hAnsi="Arial" w:cs="Arial"/>
                <w:sz w:val="22"/>
                <w:szCs w:val="22"/>
              </w:rPr>
              <w:t>ARTÍCULO 4. Capacitación a funcionarios de Comisarías de Familia y Casas de Justicia. La Administración Distrital garantizará que los programas de formación y capacitación dirigidos a los funcionarios de las Comisarías de Familia y Casas de Justicia, incluyan herramientas para identificar, prevenir y atender casos de violencia vicaria, aplicando un enfoque de género, rechazando la teoría de alienación parental y atendiendo las violencias basadas en género, incluyendo la violencia vicaria, sin que estos conceptos se puedan disociar.</w:t>
            </w:r>
          </w:p>
        </w:tc>
        <w:tc>
          <w:tcPr>
            <w:tcW w:w="3015" w:type="dxa"/>
          </w:tcPr>
          <w:p w14:paraId="2A4FA228" w14:textId="77777777" w:rsidR="00F31DD1" w:rsidRDefault="00000000">
            <w:pPr>
              <w:widowControl w:val="0"/>
              <w:tabs>
                <w:tab w:val="left" w:pos="3576"/>
                <w:tab w:val="left" w:pos="5617"/>
              </w:tabs>
              <w:spacing w:before="240"/>
              <w:jc w:val="both"/>
              <w:rPr>
                <w:rFonts w:ascii="Arial" w:eastAsia="Arial" w:hAnsi="Arial" w:cs="Arial"/>
                <w:sz w:val="22"/>
                <w:szCs w:val="22"/>
              </w:rPr>
            </w:pPr>
            <w:r>
              <w:rPr>
                <w:rFonts w:ascii="Arial" w:eastAsia="Arial" w:hAnsi="Arial" w:cs="Arial"/>
                <w:sz w:val="22"/>
                <w:szCs w:val="22"/>
              </w:rPr>
              <w:t xml:space="preserve">ARTÍCULO 4. Capacitación a funcionarios de Comisarías de Familia y Casas de Justicia. La Administración Distrital garantizará </w:t>
            </w:r>
            <w:r>
              <w:rPr>
                <w:rFonts w:ascii="Arial" w:eastAsia="Arial" w:hAnsi="Arial" w:cs="Arial"/>
                <w:b/>
                <w:sz w:val="22"/>
                <w:szCs w:val="22"/>
              </w:rPr>
              <w:t>que se incluirá en los</w:t>
            </w:r>
            <w:r>
              <w:rPr>
                <w:rFonts w:ascii="Arial" w:eastAsia="Arial" w:hAnsi="Arial" w:cs="Arial"/>
                <w:sz w:val="22"/>
                <w:szCs w:val="22"/>
              </w:rPr>
              <w:t xml:space="preserve"> programas de formación y capacitación dirigidos a los funcionarios de las Comisarías de Familia y Casas de Justicia, </w:t>
            </w:r>
            <w:r>
              <w:rPr>
                <w:rFonts w:ascii="Arial" w:eastAsia="Arial" w:hAnsi="Arial" w:cs="Arial"/>
                <w:b/>
                <w:strike/>
                <w:sz w:val="22"/>
                <w:szCs w:val="22"/>
              </w:rPr>
              <w:t>incluyan</w:t>
            </w:r>
            <w:r>
              <w:rPr>
                <w:rFonts w:ascii="Arial" w:eastAsia="Arial" w:hAnsi="Arial" w:cs="Arial"/>
                <w:sz w:val="22"/>
                <w:szCs w:val="22"/>
              </w:rPr>
              <w:t xml:space="preserve"> </w:t>
            </w:r>
            <w:r>
              <w:rPr>
                <w:rFonts w:ascii="Arial" w:eastAsia="Arial" w:hAnsi="Arial" w:cs="Arial"/>
                <w:b/>
                <w:sz w:val="22"/>
                <w:szCs w:val="22"/>
              </w:rPr>
              <w:t xml:space="preserve">que aporten </w:t>
            </w:r>
            <w:r>
              <w:rPr>
                <w:rFonts w:ascii="Arial" w:eastAsia="Arial" w:hAnsi="Arial" w:cs="Arial"/>
                <w:sz w:val="22"/>
                <w:szCs w:val="22"/>
              </w:rPr>
              <w:t>herramientas para identificar, prevenir y atender casos de violencia vicaria, aplicando un enfoque de género, rechazando la teoría de alienación parental y atendiendo las violencias basadas en género, incluyendo la violencia vicaria, sin que estos conceptos se puedan disociar.</w:t>
            </w:r>
          </w:p>
        </w:tc>
        <w:tc>
          <w:tcPr>
            <w:tcW w:w="2895" w:type="dxa"/>
          </w:tcPr>
          <w:p w14:paraId="4C0C9021" w14:textId="77777777" w:rsidR="00F31DD1" w:rsidRDefault="00F31DD1">
            <w:pPr>
              <w:widowControl w:val="0"/>
              <w:rPr>
                <w:rFonts w:ascii="Arial" w:eastAsia="Arial" w:hAnsi="Arial" w:cs="Arial"/>
                <w:sz w:val="22"/>
                <w:szCs w:val="22"/>
              </w:rPr>
            </w:pPr>
          </w:p>
          <w:p w14:paraId="1902134A" w14:textId="77777777" w:rsidR="00F31DD1" w:rsidRDefault="00000000">
            <w:pPr>
              <w:widowControl w:val="0"/>
              <w:rPr>
                <w:rFonts w:ascii="Arial" w:eastAsia="Arial" w:hAnsi="Arial" w:cs="Arial"/>
                <w:sz w:val="22"/>
                <w:szCs w:val="22"/>
              </w:rPr>
            </w:pPr>
            <w:r>
              <w:rPr>
                <w:rFonts w:ascii="Arial" w:eastAsia="Arial" w:hAnsi="Arial" w:cs="Arial"/>
                <w:sz w:val="22"/>
                <w:szCs w:val="22"/>
              </w:rPr>
              <w:t>Se debe enfocar en incluir el término “violencia vicaria” en los programas de capacitación existentes en las entidades a cargo de las Comisarías de Familia y Casas de Justicia.</w:t>
            </w:r>
          </w:p>
        </w:tc>
      </w:tr>
      <w:tr w:rsidR="00F31DD1" w14:paraId="6CD6BE8A" w14:textId="77777777">
        <w:tc>
          <w:tcPr>
            <w:tcW w:w="2910" w:type="dxa"/>
          </w:tcPr>
          <w:p w14:paraId="52D8C2CA" w14:textId="77777777" w:rsidR="00F31DD1" w:rsidRDefault="00000000">
            <w:pPr>
              <w:widowControl w:val="0"/>
              <w:tabs>
                <w:tab w:val="left" w:pos="3576"/>
                <w:tab w:val="left" w:pos="5617"/>
              </w:tabs>
              <w:spacing w:before="240"/>
              <w:jc w:val="both"/>
              <w:rPr>
                <w:rFonts w:ascii="Arial" w:eastAsia="Arial" w:hAnsi="Arial" w:cs="Arial"/>
                <w:sz w:val="22"/>
                <w:szCs w:val="22"/>
              </w:rPr>
            </w:pPr>
            <w:r>
              <w:rPr>
                <w:rFonts w:ascii="Arial" w:eastAsia="Arial" w:hAnsi="Arial" w:cs="Arial"/>
                <w:sz w:val="22"/>
                <w:szCs w:val="22"/>
              </w:rPr>
              <w:lastRenderedPageBreak/>
              <w:t>ARTÍCULO 5. Estrategia de identificación y actuación. La Secretaría Distrital de Seguridad, Convivencia y Justicia, en conjunto con la Secretaría Distrital de la Mujer, diseñará e implementará una estrategia de identificación y actuación frente a la violencia vicaria, que incluya un canal de atención a las víctimas que sean revictimizadas por las instancias de atención a víctimas, garantizando que los casos sean tratados con la debida diligencia y perspectiva de género.</w:t>
            </w:r>
          </w:p>
        </w:tc>
        <w:tc>
          <w:tcPr>
            <w:tcW w:w="3015" w:type="dxa"/>
          </w:tcPr>
          <w:p w14:paraId="60B5AFB3" w14:textId="77777777" w:rsidR="00F31DD1" w:rsidRDefault="00000000">
            <w:pPr>
              <w:widowControl w:val="0"/>
              <w:tabs>
                <w:tab w:val="left" w:pos="3576"/>
                <w:tab w:val="left" w:pos="5617"/>
              </w:tabs>
              <w:spacing w:before="240"/>
              <w:jc w:val="both"/>
              <w:rPr>
                <w:rFonts w:ascii="Arial" w:eastAsia="Arial" w:hAnsi="Arial" w:cs="Arial"/>
                <w:sz w:val="22"/>
                <w:szCs w:val="22"/>
              </w:rPr>
            </w:pPr>
            <w:r>
              <w:rPr>
                <w:rFonts w:ascii="Arial" w:eastAsia="Arial" w:hAnsi="Arial" w:cs="Arial"/>
                <w:sz w:val="22"/>
                <w:szCs w:val="22"/>
              </w:rPr>
              <w:t xml:space="preserve">ARTÍCULO 5. </w:t>
            </w:r>
            <w:r>
              <w:rPr>
                <w:rFonts w:ascii="Arial" w:eastAsia="Arial" w:hAnsi="Arial" w:cs="Arial"/>
                <w:b/>
                <w:strike/>
                <w:sz w:val="22"/>
                <w:szCs w:val="22"/>
              </w:rPr>
              <w:t xml:space="preserve">Estrategia de </w:t>
            </w:r>
            <w:r>
              <w:rPr>
                <w:rFonts w:ascii="Arial" w:eastAsia="Arial" w:hAnsi="Arial" w:cs="Arial"/>
                <w:b/>
                <w:sz w:val="22"/>
                <w:szCs w:val="22"/>
              </w:rPr>
              <w:t>Lineamientos para la i</w:t>
            </w:r>
            <w:r>
              <w:rPr>
                <w:rFonts w:ascii="Arial" w:eastAsia="Arial" w:hAnsi="Arial" w:cs="Arial"/>
                <w:sz w:val="22"/>
                <w:szCs w:val="22"/>
              </w:rPr>
              <w:t xml:space="preserve">dentificación y actuación. La Secretaría Distrital de Seguridad, Convivencia y Justicia, en conjunto con la Secretaría Distrital de la Mujer, </w:t>
            </w:r>
            <w:r>
              <w:rPr>
                <w:rFonts w:ascii="Arial" w:eastAsia="Arial" w:hAnsi="Arial" w:cs="Arial"/>
                <w:strike/>
                <w:sz w:val="22"/>
                <w:szCs w:val="22"/>
              </w:rPr>
              <w:t xml:space="preserve">diseñará e implementará una estrategia de </w:t>
            </w:r>
            <w:r>
              <w:rPr>
                <w:rFonts w:ascii="Arial" w:eastAsia="Arial" w:hAnsi="Arial" w:cs="Arial"/>
                <w:sz w:val="22"/>
                <w:szCs w:val="22"/>
              </w:rPr>
              <w:t xml:space="preserve"> </w:t>
            </w:r>
            <w:r>
              <w:rPr>
                <w:rFonts w:ascii="Arial" w:eastAsia="Arial" w:hAnsi="Arial" w:cs="Arial"/>
                <w:b/>
                <w:sz w:val="22"/>
                <w:szCs w:val="22"/>
              </w:rPr>
              <w:t xml:space="preserve">definirá los lineamientos </w:t>
            </w:r>
            <w:r>
              <w:rPr>
                <w:rFonts w:ascii="Arial" w:eastAsia="Arial" w:hAnsi="Arial" w:cs="Arial"/>
                <w:sz w:val="22"/>
                <w:szCs w:val="22"/>
              </w:rPr>
              <w:t xml:space="preserve">para la identificación y actuación frente a la violencia vicaria, que incluya un canal de atención a las </w:t>
            </w:r>
            <w:r>
              <w:rPr>
                <w:rFonts w:ascii="Arial" w:eastAsia="Arial" w:hAnsi="Arial" w:cs="Arial"/>
                <w:b/>
                <w:sz w:val="22"/>
                <w:szCs w:val="22"/>
              </w:rPr>
              <w:t>personas</w:t>
            </w:r>
            <w:r>
              <w:rPr>
                <w:rFonts w:ascii="Arial" w:eastAsia="Arial" w:hAnsi="Arial" w:cs="Arial"/>
                <w:sz w:val="22"/>
                <w:szCs w:val="22"/>
              </w:rPr>
              <w:t xml:space="preserve"> </w:t>
            </w:r>
            <w:r>
              <w:rPr>
                <w:rFonts w:ascii="Arial" w:eastAsia="Arial" w:hAnsi="Arial" w:cs="Arial"/>
                <w:b/>
                <w:strike/>
                <w:sz w:val="22"/>
                <w:szCs w:val="22"/>
              </w:rPr>
              <w:t xml:space="preserve">víctimas </w:t>
            </w:r>
            <w:r>
              <w:rPr>
                <w:rFonts w:ascii="Arial" w:eastAsia="Arial" w:hAnsi="Arial" w:cs="Arial"/>
                <w:sz w:val="22"/>
                <w:szCs w:val="22"/>
              </w:rPr>
              <w:t>que sean revictimizadas por las instancias de atención</w:t>
            </w:r>
            <w:r>
              <w:rPr>
                <w:rFonts w:ascii="Arial" w:eastAsia="Arial" w:hAnsi="Arial" w:cs="Arial"/>
                <w:strike/>
                <w:sz w:val="22"/>
                <w:szCs w:val="22"/>
              </w:rPr>
              <w:t xml:space="preserve"> a víctimas</w:t>
            </w:r>
            <w:r>
              <w:rPr>
                <w:rFonts w:ascii="Arial" w:eastAsia="Arial" w:hAnsi="Arial" w:cs="Arial"/>
                <w:sz w:val="22"/>
                <w:szCs w:val="22"/>
              </w:rPr>
              <w:t>, garantizando que los casos sean tratados con la debida diligencia y perspectiva de género.</w:t>
            </w:r>
          </w:p>
        </w:tc>
        <w:tc>
          <w:tcPr>
            <w:tcW w:w="2895" w:type="dxa"/>
          </w:tcPr>
          <w:p w14:paraId="35224A95" w14:textId="77777777" w:rsidR="00F31DD1" w:rsidRDefault="00F31DD1">
            <w:pPr>
              <w:widowControl w:val="0"/>
              <w:rPr>
                <w:rFonts w:ascii="Arial" w:eastAsia="Arial" w:hAnsi="Arial" w:cs="Arial"/>
                <w:sz w:val="22"/>
                <w:szCs w:val="22"/>
              </w:rPr>
            </w:pPr>
          </w:p>
          <w:p w14:paraId="7F9406D3" w14:textId="77777777" w:rsidR="00F31DD1" w:rsidRDefault="00000000">
            <w:pPr>
              <w:widowControl w:val="0"/>
              <w:rPr>
                <w:rFonts w:ascii="Arial" w:eastAsia="Arial" w:hAnsi="Arial" w:cs="Arial"/>
                <w:sz w:val="22"/>
                <w:szCs w:val="22"/>
              </w:rPr>
            </w:pPr>
            <w:r>
              <w:rPr>
                <w:rFonts w:ascii="Arial" w:eastAsia="Arial" w:hAnsi="Arial" w:cs="Arial"/>
                <w:sz w:val="22"/>
                <w:szCs w:val="22"/>
              </w:rPr>
              <w:t>Se ajusta el título para indicar que lo que se construye son lineamientos para… y se ajusta la redacción.</w:t>
            </w:r>
          </w:p>
        </w:tc>
      </w:tr>
      <w:tr w:rsidR="00F31DD1" w14:paraId="754364E6" w14:textId="77777777">
        <w:tc>
          <w:tcPr>
            <w:tcW w:w="2910" w:type="dxa"/>
          </w:tcPr>
          <w:p w14:paraId="0558B7F0" w14:textId="77777777" w:rsidR="00F31DD1" w:rsidRDefault="00000000">
            <w:pPr>
              <w:widowControl w:val="0"/>
              <w:tabs>
                <w:tab w:val="left" w:pos="3576"/>
                <w:tab w:val="left" w:pos="5617"/>
              </w:tabs>
              <w:spacing w:before="240"/>
              <w:jc w:val="both"/>
              <w:rPr>
                <w:rFonts w:ascii="Arial" w:eastAsia="Arial" w:hAnsi="Arial" w:cs="Arial"/>
                <w:sz w:val="22"/>
                <w:szCs w:val="22"/>
              </w:rPr>
            </w:pPr>
            <w:r>
              <w:rPr>
                <w:rFonts w:ascii="Arial" w:eastAsia="Arial" w:hAnsi="Arial" w:cs="Arial"/>
                <w:sz w:val="22"/>
                <w:szCs w:val="22"/>
              </w:rPr>
              <w:t>ARTÍCULO 6. Seguimiento y evaluación. La Veeduría Distrital, la Personería de Bogotá y el Concejo de Bogotá realizarán seguimiento a la implementación de las acciones previstas en el presente Acuerdo, promoviendo mecanismos de evaluación y mejora continua en la atención de casos de violencia vicaria.</w:t>
            </w:r>
          </w:p>
        </w:tc>
        <w:tc>
          <w:tcPr>
            <w:tcW w:w="3015" w:type="dxa"/>
          </w:tcPr>
          <w:p w14:paraId="379512C8" w14:textId="77777777" w:rsidR="00F31DD1" w:rsidRDefault="00000000">
            <w:pPr>
              <w:widowControl w:val="0"/>
              <w:tabs>
                <w:tab w:val="left" w:pos="3576"/>
                <w:tab w:val="left" w:pos="5617"/>
              </w:tabs>
              <w:spacing w:before="240"/>
              <w:jc w:val="both"/>
              <w:rPr>
                <w:rFonts w:ascii="Arial" w:eastAsia="Arial" w:hAnsi="Arial" w:cs="Arial"/>
                <w:b/>
                <w:strike/>
                <w:color w:val="FF0000"/>
                <w:sz w:val="22"/>
                <w:szCs w:val="22"/>
              </w:rPr>
            </w:pPr>
            <w:r>
              <w:rPr>
                <w:rFonts w:ascii="Arial" w:eastAsia="Arial" w:hAnsi="Arial" w:cs="Arial"/>
                <w:strike/>
                <w:sz w:val="22"/>
                <w:szCs w:val="22"/>
              </w:rPr>
              <w:t>ARTÍCULO 6. Seguimiento y evaluación. La Veeduría Distrital, la Personería de Bogotá y el Concejo de Bogotá realizarán seguimiento a la implementación de las acciones previstas en el presente Acuerdo, promoviendo mecanismos de evaluación y mejora continua en la atención de casos de violencia vicaria.</w:t>
            </w:r>
          </w:p>
        </w:tc>
        <w:tc>
          <w:tcPr>
            <w:tcW w:w="2895" w:type="dxa"/>
          </w:tcPr>
          <w:p w14:paraId="6CFE5D04" w14:textId="77777777" w:rsidR="00F31DD1" w:rsidRDefault="00000000">
            <w:pPr>
              <w:widowControl w:val="0"/>
              <w:rPr>
                <w:rFonts w:ascii="Arial" w:eastAsia="Arial" w:hAnsi="Arial" w:cs="Arial"/>
                <w:sz w:val="22"/>
                <w:szCs w:val="22"/>
              </w:rPr>
            </w:pPr>
            <w:r>
              <w:rPr>
                <w:rFonts w:ascii="Arial" w:eastAsia="Arial" w:hAnsi="Arial" w:cs="Arial"/>
                <w:sz w:val="22"/>
                <w:szCs w:val="22"/>
              </w:rPr>
              <w:t>Se elimina este artículo, pues se entiende que al volverse norma de ciudad, todo lo aquí contemplado será objeto de seguimiento, evaluación y control de las entidades aquí relacionadas, según corresponda a sus funciones.</w:t>
            </w:r>
          </w:p>
        </w:tc>
      </w:tr>
      <w:tr w:rsidR="00F31DD1" w14:paraId="254AA94E" w14:textId="77777777">
        <w:tc>
          <w:tcPr>
            <w:tcW w:w="2910" w:type="dxa"/>
          </w:tcPr>
          <w:p w14:paraId="3582D4E6" w14:textId="77777777" w:rsidR="00F31DD1" w:rsidRDefault="00000000">
            <w:pPr>
              <w:widowControl w:val="0"/>
              <w:tabs>
                <w:tab w:val="left" w:pos="3576"/>
                <w:tab w:val="left" w:pos="5617"/>
              </w:tabs>
              <w:spacing w:before="240"/>
              <w:jc w:val="both"/>
              <w:rPr>
                <w:rFonts w:ascii="Arial" w:eastAsia="Arial" w:hAnsi="Arial" w:cs="Arial"/>
                <w:sz w:val="22"/>
                <w:szCs w:val="22"/>
              </w:rPr>
            </w:pPr>
            <w:r>
              <w:rPr>
                <w:rFonts w:ascii="Arial" w:eastAsia="Arial" w:hAnsi="Arial" w:cs="Arial"/>
                <w:sz w:val="22"/>
                <w:szCs w:val="22"/>
              </w:rPr>
              <w:t>ARTÍCULO 7. Vigencia. El presente Acuerdo rige a partir de la fecha de su promulgación y publicación conforme a las disposiciones legales vigentes.</w:t>
            </w:r>
          </w:p>
        </w:tc>
        <w:tc>
          <w:tcPr>
            <w:tcW w:w="3015" w:type="dxa"/>
          </w:tcPr>
          <w:p w14:paraId="772E5371" w14:textId="77777777" w:rsidR="00F31DD1" w:rsidRDefault="00000000">
            <w:pPr>
              <w:widowControl w:val="0"/>
              <w:tabs>
                <w:tab w:val="left" w:pos="3576"/>
                <w:tab w:val="left" w:pos="5617"/>
              </w:tabs>
              <w:spacing w:before="240"/>
              <w:jc w:val="both"/>
              <w:rPr>
                <w:rFonts w:ascii="Arial" w:eastAsia="Arial" w:hAnsi="Arial" w:cs="Arial"/>
                <w:sz w:val="22"/>
                <w:szCs w:val="22"/>
              </w:rPr>
            </w:pPr>
            <w:r>
              <w:rPr>
                <w:rFonts w:ascii="Arial" w:eastAsia="Arial" w:hAnsi="Arial" w:cs="Arial"/>
                <w:sz w:val="22"/>
                <w:szCs w:val="22"/>
              </w:rPr>
              <w:t xml:space="preserve">ARTÍCULO </w:t>
            </w:r>
            <w:r>
              <w:rPr>
                <w:rFonts w:ascii="Arial" w:eastAsia="Arial" w:hAnsi="Arial" w:cs="Arial"/>
                <w:b/>
                <w:sz w:val="22"/>
                <w:szCs w:val="22"/>
              </w:rPr>
              <w:t>6</w:t>
            </w:r>
            <w:r>
              <w:rPr>
                <w:rFonts w:ascii="Arial" w:eastAsia="Arial" w:hAnsi="Arial" w:cs="Arial"/>
                <w:sz w:val="22"/>
                <w:szCs w:val="22"/>
              </w:rPr>
              <w:t>. Vigencia. El presente Acuerdo rige a partir de la fecha de su promulgación y publicación conforme a las disposiciones legales vigentes.</w:t>
            </w:r>
          </w:p>
        </w:tc>
        <w:tc>
          <w:tcPr>
            <w:tcW w:w="2895" w:type="dxa"/>
          </w:tcPr>
          <w:p w14:paraId="474418BA" w14:textId="77777777" w:rsidR="00F31DD1" w:rsidRDefault="00F31DD1">
            <w:pPr>
              <w:widowControl w:val="0"/>
              <w:jc w:val="both"/>
              <w:rPr>
                <w:rFonts w:ascii="Arial" w:eastAsia="Arial" w:hAnsi="Arial" w:cs="Arial"/>
                <w:sz w:val="22"/>
                <w:szCs w:val="22"/>
              </w:rPr>
            </w:pPr>
          </w:p>
          <w:p w14:paraId="1A756905" w14:textId="77777777" w:rsidR="00F31DD1" w:rsidRDefault="00000000">
            <w:pPr>
              <w:widowControl w:val="0"/>
              <w:jc w:val="both"/>
              <w:rPr>
                <w:rFonts w:ascii="Arial" w:eastAsia="Arial" w:hAnsi="Arial" w:cs="Arial"/>
                <w:sz w:val="22"/>
                <w:szCs w:val="22"/>
              </w:rPr>
            </w:pPr>
            <w:r>
              <w:rPr>
                <w:rFonts w:ascii="Arial" w:eastAsia="Arial" w:hAnsi="Arial" w:cs="Arial"/>
                <w:sz w:val="22"/>
                <w:szCs w:val="22"/>
              </w:rPr>
              <w:t>Se renumera en virtud de la eliminación del artículo anterior.</w:t>
            </w:r>
          </w:p>
        </w:tc>
      </w:tr>
    </w:tbl>
    <w:p w14:paraId="3C4DC990" w14:textId="77777777" w:rsidR="00F31DD1" w:rsidRDefault="00F31DD1">
      <w:pPr>
        <w:jc w:val="both"/>
        <w:rPr>
          <w:rFonts w:ascii="Arial" w:eastAsia="Arial" w:hAnsi="Arial" w:cs="Arial"/>
          <w:sz w:val="22"/>
          <w:szCs w:val="22"/>
        </w:rPr>
      </w:pPr>
    </w:p>
    <w:p w14:paraId="0F3A63F2" w14:textId="77777777" w:rsidR="00F31DD1" w:rsidRDefault="00000000">
      <w:pPr>
        <w:numPr>
          <w:ilvl w:val="0"/>
          <w:numId w:val="1"/>
        </w:numPr>
        <w:jc w:val="both"/>
        <w:rPr>
          <w:rFonts w:ascii="Arial" w:eastAsia="Arial" w:hAnsi="Arial" w:cs="Arial"/>
          <w:b/>
          <w:sz w:val="22"/>
          <w:szCs w:val="22"/>
        </w:rPr>
      </w:pPr>
      <w:r>
        <w:rPr>
          <w:rFonts w:ascii="Arial" w:eastAsia="Arial" w:hAnsi="Arial" w:cs="Arial"/>
          <w:b/>
          <w:sz w:val="22"/>
          <w:szCs w:val="22"/>
        </w:rPr>
        <w:lastRenderedPageBreak/>
        <w:t>CONCLUSIÓN</w:t>
      </w:r>
    </w:p>
    <w:p w14:paraId="4E18EB18" w14:textId="77777777" w:rsidR="00F31DD1" w:rsidRDefault="00F31DD1">
      <w:pPr>
        <w:jc w:val="both"/>
        <w:rPr>
          <w:rFonts w:ascii="Arial" w:eastAsia="Arial" w:hAnsi="Arial" w:cs="Arial"/>
          <w:b/>
          <w:sz w:val="22"/>
          <w:szCs w:val="22"/>
        </w:rPr>
      </w:pPr>
    </w:p>
    <w:p w14:paraId="2CFFC9B1" w14:textId="77777777" w:rsidR="00F31DD1" w:rsidRDefault="00000000">
      <w:pPr>
        <w:spacing w:line="276" w:lineRule="auto"/>
        <w:jc w:val="both"/>
        <w:rPr>
          <w:rFonts w:ascii="Arial" w:eastAsia="Arial" w:hAnsi="Arial" w:cs="Arial"/>
          <w:b/>
          <w:sz w:val="22"/>
          <w:szCs w:val="22"/>
        </w:rPr>
      </w:pPr>
      <w:r>
        <w:rPr>
          <w:rFonts w:ascii="Arial" w:eastAsia="Arial" w:hAnsi="Arial" w:cs="Arial"/>
          <w:sz w:val="22"/>
          <w:szCs w:val="22"/>
        </w:rPr>
        <w:t xml:space="preserve">Con fundamento en el análisis jurídico desde el punto de vista constitucional, legal y normativo, así como la competencia del Concejo de Bogotá en la materia y lo expresado a lo largo de esta ponencia, nos permitimos rendir </w:t>
      </w:r>
      <w:r>
        <w:rPr>
          <w:rFonts w:ascii="Arial" w:eastAsia="Arial" w:hAnsi="Arial" w:cs="Arial"/>
          <w:b/>
          <w:sz w:val="22"/>
          <w:szCs w:val="22"/>
        </w:rPr>
        <w:t>PONENCIA CONJUNTA POSITIVA CON MODIFICACIONES</w:t>
      </w:r>
      <w:r>
        <w:rPr>
          <w:rFonts w:ascii="Arial" w:eastAsia="Arial" w:hAnsi="Arial" w:cs="Arial"/>
          <w:color w:val="FF0000"/>
          <w:sz w:val="22"/>
          <w:szCs w:val="22"/>
        </w:rPr>
        <w:t xml:space="preserve"> </w:t>
      </w:r>
      <w:r>
        <w:rPr>
          <w:rFonts w:ascii="Arial" w:eastAsia="Arial" w:hAnsi="Arial" w:cs="Arial"/>
          <w:sz w:val="22"/>
          <w:szCs w:val="22"/>
        </w:rPr>
        <w:t xml:space="preserve">al Proyecto de Acuerdo </w:t>
      </w:r>
      <w:proofErr w:type="spellStart"/>
      <w:r>
        <w:rPr>
          <w:rFonts w:ascii="Arial" w:eastAsia="Arial" w:hAnsi="Arial" w:cs="Arial"/>
          <w:sz w:val="22"/>
          <w:szCs w:val="22"/>
        </w:rPr>
        <w:t>N.°</w:t>
      </w:r>
      <w:proofErr w:type="spellEnd"/>
      <w:r>
        <w:rPr>
          <w:rFonts w:ascii="Arial" w:eastAsia="Arial" w:hAnsi="Arial" w:cs="Arial"/>
          <w:sz w:val="22"/>
          <w:szCs w:val="22"/>
        </w:rPr>
        <w:t xml:space="preserve"> 764 de 2025, </w:t>
      </w:r>
      <w:r>
        <w:rPr>
          <w:rFonts w:ascii="Arial" w:eastAsia="Arial" w:hAnsi="Arial" w:cs="Arial"/>
          <w:b/>
          <w:sz w:val="22"/>
          <w:szCs w:val="22"/>
        </w:rPr>
        <w:t>“POR MEDIO DEL CUAL SE ESTABLECE EL DÍA DISTRITAL CONTRA LA VIOLENCIA VICARIA Y SE IMPLEMENTAN ACCIONES PARA SU PREVENCIÓN, SENSIBILIZACIÓN Y ATENCIÓN EN EL DISTRITO CAPITAL”.</w:t>
      </w:r>
    </w:p>
    <w:p w14:paraId="6BE95A33" w14:textId="77777777" w:rsidR="00F31DD1" w:rsidRDefault="00F31DD1">
      <w:pPr>
        <w:jc w:val="both"/>
        <w:rPr>
          <w:rFonts w:ascii="Arial" w:eastAsia="Arial" w:hAnsi="Arial" w:cs="Arial"/>
          <w:sz w:val="22"/>
          <w:szCs w:val="22"/>
        </w:rPr>
      </w:pPr>
      <w:bookmarkStart w:id="20" w:name="_heading=h.p3kf0ke77j9j" w:colFirst="0" w:colLast="0"/>
      <w:bookmarkEnd w:id="20"/>
    </w:p>
    <w:p w14:paraId="72363AA1" w14:textId="77777777" w:rsidR="00F31DD1" w:rsidRDefault="00000000">
      <w:pPr>
        <w:numPr>
          <w:ilvl w:val="0"/>
          <w:numId w:val="1"/>
        </w:numPr>
        <w:pBdr>
          <w:top w:val="nil"/>
          <w:left w:val="nil"/>
          <w:bottom w:val="nil"/>
          <w:right w:val="nil"/>
          <w:between w:val="nil"/>
        </w:pBdr>
        <w:shd w:val="clear" w:color="auto" w:fill="FFFFFF"/>
        <w:jc w:val="both"/>
        <w:rPr>
          <w:rFonts w:ascii="Arial" w:eastAsia="Arial" w:hAnsi="Arial" w:cs="Arial"/>
          <w:b/>
          <w:color w:val="000000"/>
          <w:sz w:val="22"/>
          <w:szCs w:val="22"/>
        </w:rPr>
      </w:pPr>
      <w:r>
        <w:rPr>
          <w:rFonts w:ascii="Arial" w:eastAsia="Arial" w:hAnsi="Arial" w:cs="Arial"/>
          <w:b/>
          <w:color w:val="000000"/>
          <w:sz w:val="22"/>
          <w:szCs w:val="22"/>
        </w:rPr>
        <w:t>ARTICULADO PROPUESTO</w:t>
      </w:r>
    </w:p>
    <w:p w14:paraId="2574261B" w14:textId="77777777" w:rsidR="00F31DD1" w:rsidRDefault="00F31DD1">
      <w:pPr>
        <w:pBdr>
          <w:top w:val="nil"/>
          <w:left w:val="nil"/>
          <w:bottom w:val="nil"/>
          <w:right w:val="nil"/>
          <w:between w:val="nil"/>
        </w:pBdr>
        <w:shd w:val="clear" w:color="auto" w:fill="FFFFFF"/>
        <w:spacing w:after="150"/>
        <w:ind w:left="720"/>
        <w:jc w:val="both"/>
        <w:rPr>
          <w:rFonts w:ascii="Arial" w:eastAsia="Arial" w:hAnsi="Arial" w:cs="Arial"/>
          <w:b/>
          <w:color w:val="000000"/>
          <w:sz w:val="22"/>
          <w:szCs w:val="22"/>
        </w:rPr>
      </w:pPr>
    </w:p>
    <w:p w14:paraId="73E697C5" w14:textId="77777777" w:rsidR="00F31DD1" w:rsidRDefault="00000000">
      <w:pPr>
        <w:widowControl w:val="0"/>
        <w:jc w:val="center"/>
        <w:rPr>
          <w:rFonts w:ascii="Arial" w:eastAsia="Arial" w:hAnsi="Arial" w:cs="Arial"/>
          <w:b/>
          <w:sz w:val="22"/>
          <w:szCs w:val="22"/>
        </w:rPr>
      </w:pPr>
      <w:r>
        <w:rPr>
          <w:rFonts w:ascii="Arial" w:eastAsia="Arial" w:hAnsi="Arial" w:cs="Arial"/>
          <w:b/>
          <w:sz w:val="22"/>
          <w:szCs w:val="22"/>
        </w:rPr>
        <w:t>PROYECTO DE ACUERDO N. 764</w:t>
      </w:r>
      <w:r>
        <w:rPr>
          <w:rFonts w:ascii="Arial" w:eastAsia="Arial" w:hAnsi="Arial" w:cs="Arial"/>
          <w:b/>
          <w:color w:val="FF0000"/>
          <w:sz w:val="22"/>
          <w:szCs w:val="22"/>
        </w:rPr>
        <w:t xml:space="preserve"> </w:t>
      </w:r>
      <w:r>
        <w:rPr>
          <w:rFonts w:ascii="Arial" w:eastAsia="Arial" w:hAnsi="Arial" w:cs="Arial"/>
          <w:b/>
          <w:sz w:val="22"/>
          <w:szCs w:val="22"/>
        </w:rPr>
        <w:t xml:space="preserve">DE 2025 </w:t>
      </w:r>
    </w:p>
    <w:p w14:paraId="70596915" w14:textId="77777777" w:rsidR="00F31DD1" w:rsidRDefault="00F31DD1">
      <w:pPr>
        <w:widowControl w:val="0"/>
        <w:jc w:val="center"/>
        <w:rPr>
          <w:rFonts w:ascii="Arial" w:eastAsia="Arial" w:hAnsi="Arial" w:cs="Arial"/>
          <w:b/>
          <w:sz w:val="22"/>
          <w:szCs w:val="22"/>
        </w:rPr>
      </w:pPr>
    </w:p>
    <w:p w14:paraId="31214909" w14:textId="77777777" w:rsidR="00F31DD1" w:rsidRDefault="00000000">
      <w:pPr>
        <w:widowControl w:val="0"/>
        <w:jc w:val="center"/>
        <w:rPr>
          <w:rFonts w:ascii="Arial" w:eastAsia="Arial" w:hAnsi="Arial" w:cs="Arial"/>
          <w:sz w:val="22"/>
          <w:szCs w:val="22"/>
        </w:rPr>
      </w:pPr>
      <w:r>
        <w:rPr>
          <w:rFonts w:ascii="Arial" w:eastAsia="Arial" w:hAnsi="Arial" w:cs="Arial"/>
          <w:sz w:val="22"/>
          <w:szCs w:val="22"/>
        </w:rPr>
        <w:t>“POR MEDIO DEL CUAL SE ESTABLECE EL DÍA DISTRITAL CONTRA LA VIOLENCIA VICARIA Y SE IMPLEMENTAN ACCIONES PARA SU PREVENCIÓN, SENSIBILIZACIÓN Y ATENCIÓN EN EL DISTRITO CAPITAL”.</w:t>
      </w:r>
    </w:p>
    <w:p w14:paraId="64FBA23A" w14:textId="77777777" w:rsidR="00F31DD1" w:rsidRDefault="00F31DD1">
      <w:pPr>
        <w:widowControl w:val="0"/>
        <w:jc w:val="center"/>
        <w:rPr>
          <w:rFonts w:ascii="Arial" w:eastAsia="Arial" w:hAnsi="Arial" w:cs="Arial"/>
          <w:sz w:val="22"/>
          <w:szCs w:val="22"/>
        </w:rPr>
      </w:pPr>
    </w:p>
    <w:p w14:paraId="248B819C" w14:textId="77777777" w:rsidR="00F31DD1" w:rsidRDefault="00000000">
      <w:pPr>
        <w:pStyle w:val="Ttulo3"/>
        <w:widowControl w:val="0"/>
        <w:tabs>
          <w:tab w:val="left" w:pos="3576"/>
          <w:tab w:val="left" w:pos="5617"/>
        </w:tabs>
        <w:spacing w:before="280" w:after="280"/>
        <w:jc w:val="center"/>
        <w:rPr>
          <w:rFonts w:ascii="Arial" w:eastAsia="Arial" w:hAnsi="Arial" w:cs="Arial"/>
          <w:sz w:val="22"/>
          <w:szCs w:val="22"/>
        </w:rPr>
      </w:pPr>
      <w:r>
        <w:rPr>
          <w:rFonts w:ascii="Arial" w:eastAsia="Arial" w:hAnsi="Arial" w:cs="Arial"/>
          <w:sz w:val="22"/>
          <w:szCs w:val="22"/>
        </w:rPr>
        <w:t>EL CONCEJO DE BOGOTÁ</w:t>
      </w:r>
    </w:p>
    <w:p w14:paraId="16F7FECA" w14:textId="77777777" w:rsidR="00F31DD1" w:rsidRDefault="00000000">
      <w:pPr>
        <w:jc w:val="center"/>
        <w:rPr>
          <w:rFonts w:ascii="Arial" w:eastAsia="Arial" w:hAnsi="Arial" w:cs="Arial"/>
          <w:sz w:val="22"/>
          <w:szCs w:val="22"/>
        </w:rPr>
      </w:pPr>
      <w:r>
        <w:rPr>
          <w:rFonts w:ascii="Arial" w:eastAsia="Arial" w:hAnsi="Arial" w:cs="Arial"/>
          <w:sz w:val="22"/>
          <w:szCs w:val="22"/>
        </w:rPr>
        <w:t>En ejercicio de sus atribuciones constitucionales y legales y, en especial, las que le confieren los numerales 1 y 13 del Artículo 12 del Decreto Ley 1421 de 1993.</w:t>
      </w:r>
    </w:p>
    <w:p w14:paraId="42F638F0" w14:textId="77777777" w:rsidR="00F31DD1" w:rsidRDefault="00F31DD1">
      <w:pPr>
        <w:jc w:val="center"/>
        <w:rPr>
          <w:rFonts w:ascii="Arial" w:eastAsia="Arial" w:hAnsi="Arial" w:cs="Arial"/>
          <w:sz w:val="22"/>
          <w:szCs w:val="22"/>
        </w:rPr>
      </w:pPr>
    </w:p>
    <w:p w14:paraId="7AF339CF" w14:textId="77777777" w:rsidR="00F31DD1" w:rsidRDefault="00000000">
      <w:pPr>
        <w:jc w:val="center"/>
        <w:rPr>
          <w:rFonts w:ascii="Arial" w:eastAsia="Arial" w:hAnsi="Arial" w:cs="Arial"/>
          <w:b/>
          <w:sz w:val="22"/>
          <w:szCs w:val="22"/>
        </w:rPr>
      </w:pPr>
      <w:r>
        <w:rPr>
          <w:rFonts w:ascii="Arial" w:eastAsia="Arial" w:hAnsi="Arial" w:cs="Arial"/>
          <w:b/>
          <w:sz w:val="22"/>
          <w:szCs w:val="22"/>
        </w:rPr>
        <w:t>Considerando</w:t>
      </w:r>
    </w:p>
    <w:p w14:paraId="5FFDA63F" w14:textId="77777777" w:rsidR="00F31DD1" w:rsidRDefault="00F31DD1">
      <w:pPr>
        <w:jc w:val="center"/>
        <w:rPr>
          <w:rFonts w:ascii="Arial" w:eastAsia="Arial" w:hAnsi="Arial" w:cs="Arial"/>
          <w:sz w:val="22"/>
          <w:szCs w:val="22"/>
        </w:rPr>
      </w:pPr>
    </w:p>
    <w:p w14:paraId="20DF9608" w14:textId="77777777" w:rsidR="00F31DD1" w:rsidRDefault="00000000">
      <w:pPr>
        <w:jc w:val="center"/>
        <w:rPr>
          <w:rFonts w:ascii="Arial" w:eastAsia="Arial" w:hAnsi="Arial" w:cs="Arial"/>
          <w:sz w:val="22"/>
          <w:szCs w:val="22"/>
        </w:rPr>
      </w:pPr>
      <w:r>
        <w:rPr>
          <w:rFonts w:ascii="Arial" w:eastAsia="Arial" w:hAnsi="Arial" w:cs="Arial"/>
          <w:sz w:val="22"/>
          <w:szCs w:val="22"/>
        </w:rPr>
        <w:t>La Constitución Política de Colombia, en su artículo 13, establece el derecho a la igualdad y la obligación del Estado de garantizar la protección especial a aquellas personas que se encuentren en situación de vulnerabilidad.</w:t>
      </w:r>
    </w:p>
    <w:p w14:paraId="3C8B6DE6" w14:textId="77777777" w:rsidR="00F31DD1" w:rsidRDefault="00000000">
      <w:pPr>
        <w:jc w:val="center"/>
        <w:rPr>
          <w:rFonts w:ascii="Arial" w:eastAsia="Arial" w:hAnsi="Arial" w:cs="Arial"/>
          <w:sz w:val="22"/>
          <w:szCs w:val="22"/>
        </w:rPr>
      </w:pPr>
      <w:r>
        <w:rPr>
          <w:rFonts w:ascii="Arial" w:eastAsia="Arial" w:hAnsi="Arial" w:cs="Arial"/>
          <w:sz w:val="22"/>
          <w:szCs w:val="22"/>
        </w:rPr>
        <w:t>La Ley 1257 de 2008 establece medidas de prevención, protección y atención en casos de violencia contra las mujeres y promueve la erradicación de todas las formas de violencia de género.</w:t>
      </w:r>
    </w:p>
    <w:p w14:paraId="4C03E4D9" w14:textId="77777777" w:rsidR="00F31DD1" w:rsidRDefault="00F31DD1">
      <w:pPr>
        <w:jc w:val="center"/>
        <w:rPr>
          <w:rFonts w:ascii="Arial" w:eastAsia="Arial" w:hAnsi="Arial" w:cs="Arial"/>
          <w:sz w:val="22"/>
          <w:szCs w:val="22"/>
        </w:rPr>
      </w:pPr>
    </w:p>
    <w:p w14:paraId="4C6F3FEF" w14:textId="77777777" w:rsidR="00F31DD1" w:rsidRDefault="00000000">
      <w:pPr>
        <w:jc w:val="center"/>
        <w:rPr>
          <w:rFonts w:ascii="Arial" w:eastAsia="Arial" w:hAnsi="Arial" w:cs="Arial"/>
          <w:sz w:val="22"/>
          <w:szCs w:val="22"/>
        </w:rPr>
      </w:pPr>
      <w:r>
        <w:rPr>
          <w:rFonts w:ascii="Arial" w:eastAsia="Arial" w:hAnsi="Arial" w:cs="Arial"/>
          <w:sz w:val="22"/>
          <w:szCs w:val="22"/>
        </w:rPr>
        <w:t>El Código de Infancia y Adolescencia (Ley 1098 de 2006) protege el interés superior de niños, niñas y adolescentes, señalando la obligación del Estado de garantizar entornos libres de violencia para su desarrollo integral.</w:t>
      </w:r>
    </w:p>
    <w:p w14:paraId="62F48B44" w14:textId="77777777" w:rsidR="00F31DD1" w:rsidRDefault="00F31DD1">
      <w:pPr>
        <w:jc w:val="center"/>
        <w:rPr>
          <w:rFonts w:ascii="Arial" w:eastAsia="Arial" w:hAnsi="Arial" w:cs="Arial"/>
          <w:sz w:val="22"/>
          <w:szCs w:val="22"/>
        </w:rPr>
      </w:pPr>
    </w:p>
    <w:p w14:paraId="5A8F8891" w14:textId="77777777" w:rsidR="00F31DD1" w:rsidRDefault="00000000">
      <w:pPr>
        <w:jc w:val="center"/>
        <w:rPr>
          <w:rFonts w:ascii="Arial" w:eastAsia="Arial" w:hAnsi="Arial" w:cs="Arial"/>
          <w:sz w:val="22"/>
          <w:szCs w:val="22"/>
        </w:rPr>
      </w:pPr>
      <w:r>
        <w:rPr>
          <w:rFonts w:ascii="Arial" w:eastAsia="Arial" w:hAnsi="Arial" w:cs="Arial"/>
          <w:sz w:val="22"/>
          <w:szCs w:val="22"/>
        </w:rPr>
        <w:t>El Decreto 2733 de 2012 reglamenta la organización y funcionamiento de las Comisarías de Familia y establece su competencia para la protección de víctimas de violencia intrafamiliar.</w:t>
      </w:r>
    </w:p>
    <w:p w14:paraId="4F770CD9" w14:textId="77777777" w:rsidR="00F31DD1" w:rsidRDefault="00F31DD1">
      <w:pPr>
        <w:jc w:val="center"/>
        <w:rPr>
          <w:rFonts w:ascii="Arial" w:eastAsia="Arial" w:hAnsi="Arial" w:cs="Arial"/>
          <w:sz w:val="22"/>
          <w:szCs w:val="22"/>
        </w:rPr>
      </w:pPr>
    </w:p>
    <w:p w14:paraId="2534C96F" w14:textId="77777777" w:rsidR="00F31DD1" w:rsidRDefault="00000000">
      <w:pPr>
        <w:jc w:val="center"/>
        <w:rPr>
          <w:rFonts w:ascii="Arial" w:eastAsia="Arial" w:hAnsi="Arial" w:cs="Arial"/>
          <w:sz w:val="22"/>
          <w:szCs w:val="22"/>
        </w:rPr>
      </w:pPr>
      <w:r>
        <w:rPr>
          <w:rFonts w:ascii="Arial" w:eastAsia="Arial" w:hAnsi="Arial" w:cs="Arial"/>
          <w:sz w:val="22"/>
          <w:szCs w:val="22"/>
        </w:rPr>
        <w:t xml:space="preserve">Es necesario fortalecer la capacidad institucional para identificar y actuar frente a la violencia vicaria en Bogotá, especialmente en las Comisarías de Familia y Casas de </w:t>
      </w:r>
      <w:r>
        <w:rPr>
          <w:rFonts w:ascii="Arial" w:eastAsia="Arial" w:hAnsi="Arial" w:cs="Arial"/>
          <w:sz w:val="22"/>
          <w:szCs w:val="22"/>
        </w:rPr>
        <w:lastRenderedPageBreak/>
        <w:t>Justicia, garantizando que el personal tenga la formación adecuada para abordar estos casos con enfoque de género y derechos humanos.</w:t>
      </w:r>
    </w:p>
    <w:p w14:paraId="752070AD" w14:textId="77777777" w:rsidR="00F31DD1" w:rsidRDefault="00000000">
      <w:pPr>
        <w:pStyle w:val="Ttulo3"/>
        <w:widowControl w:val="0"/>
        <w:tabs>
          <w:tab w:val="left" w:pos="3576"/>
          <w:tab w:val="left" w:pos="5617"/>
        </w:tabs>
        <w:spacing w:before="280" w:after="280"/>
        <w:jc w:val="center"/>
        <w:rPr>
          <w:rFonts w:ascii="Arial" w:eastAsia="Arial" w:hAnsi="Arial" w:cs="Arial"/>
          <w:sz w:val="22"/>
          <w:szCs w:val="22"/>
        </w:rPr>
      </w:pPr>
      <w:r>
        <w:rPr>
          <w:rFonts w:ascii="Arial" w:eastAsia="Arial" w:hAnsi="Arial" w:cs="Arial"/>
          <w:sz w:val="22"/>
          <w:szCs w:val="22"/>
        </w:rPr>
        <w:t>ACUERDA:</w:t>
      </w:r>
    </w:p>
    <w:p w14:paraId="788F9661" w14:textId="77777777" w:rsidR="00F31DD1" w:rsidRDefault="00000000">
      <w:pPr>
        <w:jc w:val="both"/>
        <w:rPr>
          <w:rFonts w:ascii="Arial" w:eastAsia="Arial" w:hAnsi="Arial" w:cs="Arial"/>
          <w:sz w:val="22"/>
          <w:szCs w:val="22"/>
        </w:rPr>
      </w:pPr>
      <w:r>
        <w:rPr>
          <w:rFonts w:ascii="Arial" w:eastAsia="Arial" w:hAnsi="Arial" w:cs="Arial"/>
          <w:b/>
          <w:sz w:val="22"/>
          <w:szCs w:val="22"/>
        </w:rPr>
        <w:t>ARTÍCULO 1. Objeto.</w:t>
      </w:r>
      <w:r>
        <w:rPr>
          <w:rFonts w:ascii="Arial" w:eastAsia="Arial" w:hAnsi="Arial" w:cs="Arial"/>
          <w:sz w:val="22"/>
          <w:szCs w:val="22"/>
        </w:rPr>
        <w:t xml:space="preserve"> El presente Acuerdo tiene por objeto establecer lineamientos para la sensibilización, prevención, atención y erradicación de la violencia vicaria en Bogotá, D. C., reconociendo ésta como una forma de violencia basada en género que afecta principalmente a mujeres.</w:t>
      </w:r>
    </w:p>
    <w:p w14:paraId="3788F90E" w14:textId="77777777" w:rsidR="00F31DD1" w:rsidRDefault="00F31DD1">
      <w:pPr>
        <w:jc w:val="both"/>
        <w:rPr>
          <w:rFonts w:ascii="Arial" w:eastAsia="Arial" w:hAnsi="Arial" w:cs="Arial"/>
          <w:sz w:val="22"/>
          <w:szCs w:val="22"/>
        </w:rPr>
      </w:pPr>
    </w:p>
    <w:p w14:paraId="1CC764A1" w14:textId="77777777" w:rsidR="00F31DD1" w:rsidRDefault="00000000">
      <w:pPr>
        <w:jc w:val="both"/>
        <w:rPr>
          <w:rFonts w:ascii="Arial" w:eastAsia="Arial" w:hAnsi="Arial" w:cs="Arial"/>
          <w:sz w:val="22"/>
          <w:szCs w:val="22"/>
        </w:rPr>
      </w:pPr>
      <w:r>
        <w:rPr>
          <w:rFonts w:ascii="Arial" w:eastAsia="Arial" w:hAnsi="Arial" w:cs="Arial"/>
          <w:b/>
          <w:sz w:val="22"/>
          <w:szCs w:val="22"/>
        </w:rPr>
        <w:t xml:space="preserve">ARTÍCULO 2. Día Distrital contra la Violencia Vicaria. </w:t>
      </w:r>
      <w:r>
        <w:rPr>
          <w:rFonts w:ascii="Arial" w:eastAsia="Arial" w:hAnsi="Arial" w:cs="Arial"/>
          <w:sz w:val="22"/>
          <w:szCs w:val="22"/>
        </w:rPr>
        <w:t>Declárase el 11 de mayo de cada año como el Día Distrital contra la Violencia Vicaria, con el objetivo de sensibilizar a la ciudadanía y promover acciones para la prevención y erradicación de esta forma de violencia en Bogotá, D.C.</w:t>
      </w:r>
    </w:p>
    <w:p w14:paraId="286C4676" w14:textId="77777777" w:rsidR="00F31DD1" w:rsidRDefault="00F31DD1">
      <w:pPr>
        <w:jc w:val="both"/>
        <w:rPr>
          <w:rFonts w:ascii="Arial" w:eastAsia="Arial" w:hAnsi="Arial" w:cs="Arial"/>
          <w:sz w:val="22"/>
          <w:szCs w:val="22"/>
        </w:rPr>
      </w:pPr>
    </w:p>
    <w:p w14:paraId="5CD7EBC4" w14:textId="77777777" w:rsidR="00F31DD1" w:rsidRDefault="00000000">
      <w:pPr>
        <w:jc w:val="both"/>
        <w:rPr>
          <w:rFonts w:ascii="Arial" w:eastAsia="Arial" w:hAnsi="Arial" w:cs="Arial"/>
          <w:sz w:val="22"/>
          <w:szCs w:val="22"/>
        </w:rPr>
      </w:pPr>
      <w:r>
        <w:rPr>
          <w:rFonts w:ascii="Arial" w:eastAsia="Arial" w:hAnsi="Arial" w:cs="Arial"/>
          <w:b/>
          <w:sz w:val="22"/>
          <w:szCs w:val="22"/>
        </w:rPr>
        <w:t xml:space="preserve">ARTÍCULO 3. Jornadas de sensibilización y prevención. </w:t>
      </w:r>
      <w:r>
        <w:rPr>
          <w:rFonts w:ascii="Arial" w:eastAsia="Arial" w:hAnsi="Arial" w:cs="Arial"/>
          <w:sz w:val="22"/>
          <w:szCs w:val="22"/>
        </w:rPr>
        <w:t>La Secretaría Distrital de la Mujer, en articulación con la Secretaría de Seguridad, Convivencia y Justicia, desarrollará actividades de concienciación y capacitación sobre violencia vicaria en el marco del Día Distrital contra la Violencia Vicaria. Estas actividades incluirán campañas de difusión, foros, conferencias y espacios de diálogo con expertos y organizaciones de la sociedad civil.</w:t>
      </w:r>
    </w:p>
    <w:p w14:paraId="627CA24E" w14:textId="77777777" w:rsidR="00F31DD1" w:rsidRDefault="00F31DD1">
      <w:pPr>
        <w:jc w:val="both"/>
        <w:rPr>
          <w:rFonts w:ascii="Arial" w:eastAsia="Arial" w:hAnsi="Arial" w:cs="Arial"/>
          <w:sz w:val="22"/>
          <w:szCs w:val="22"/>
        </w:rPr>
      </w:pPr>
    </w:p>
    <w:p w14:paraId="626B7DF3" w14:textId="77777777" w:rsidR="00F31DD1" w:rsidRDefault="00000000">
      <w:pPr>
        <w:jc w:val="both"/>
        <w:rPr>
          <w:rFonts w:ascii="Arial" w:eastAsia="Arial" w:hAnsi="Arial" w:cs="Arial"/>
          <w:sz w:val="22"/>
          <w:szCs w:val="22"/>
        </w:rPr>
      </w:pPr>
      <w:r>
        <w:rPr>
          <w:rFonts w:ascii="Arial" w:eastAsia="Arial" w:hAnsi="Arial" w:cs="Arial"/>
          <w:b/>
          <w:sz w:val="22"/>
          <w:szCs w:val="22"/>
        </w:rPr>
        <w:t xml:space="preserve">ARTÍCULO 4. Capacitación a funcionarios de Comisarías de Familia y Casas de Justicia. </w:t>
      </w:r>
      <w:r>
        <w:rPr>
          <w:rFonts w:ascii="Arial" w:eastAsia="Arial" w:hAnsi="Arial" w:cs="Arial"/>
          <w:sz w:val="22"/>
          <w:szCs w:val="22"/>
        </w:rPr>
        <w:t>La Administración Distrital garantizará que se incluirá en los programas de formación y capacitación dirigidos a los funcionarios de las Comisarías de Familia y Casas de Justicia, que aporten herramientas para identificar, prevenir y atender casos de violencia vicaria, aplicando un enfoque de género, rechazando la teoría de alienación parental y atendiendo las violencias basadas en género, incluyendo la violencia vicaria, sin que estos conceptos se puedan disociar.</w:t>
      </w:r>
    </w:p>
    <w:p w14:paraId="50CBB788" w14:textId="77777777" w:rsidR="00F31DD1" w:rsidRDefault="00000000">
      <w:pPr>
        <w:widowControl w:val="0"/>
        <w:tabs>
          <w:tab w:val="left" w:pos="3576"/>
          <w:tab w:val="left" w:pos="5617"/>
        </w:tabs>
        <w:spacing w:before="240"/>
        <w:jc w:val="both"/>
        <w:rPr>
          <w:rFonts w:ascii="Arial" w:eastAsia="Arial" w:hAnsi="Arial" w:cs="Arial"/>
          <w:sz w:val="22"/>
          <w:szCs w:val="22"/>
        </w:rPr>
      </w:pPr>
      <w:r>
        <w:rPr>
          <w:rFonts w:ascii="Arial" w:eastAsia="Arial" w:hAnsi="Arial" w:cs="Arial"/>
          <w:b/>
          <w:sz w:val="22"/>
          <w:szCs w:val="22"/>
        </w:rPr>
        <w:t>ARTÍCULO 5. Lineamientos para la identificación y actuación.</w:t>
      </w:r>
      <w:r>
        <w:rPr>
          <w:rFonts w:ascii="Arial" w:eastAsia="Arial" w:hAnsi="Arial" w:cs="Arial"/>
          <w:sz w:val="22"/>
          <w:szCs w:val="22"/>
        </w:rPr>
        <w:t xml:space="preserve"> La Secretaría Distrital de Seguridad, Convivencia y Justicia, en conjunto con la Secretaría Distrital de la Mujer, definirá los lineamientos para la identificación y actuación frente a la violencia vicaria, que incluya un canal de atención a las personas que sean revictimizadas por las instancias de atención, garantizando que los casos sean tratados con la debida diligencia y perspectiva de género.</w:t>
      </w:r>
    </w:p>
    <w:p w14:paraId="324CB798" w14:textId="77777777" w:rsidR="00F31DD1" w:rsidRDefault="00F31DD1">
      <w:pPr>
        <w:jc w:val="both"/>
        <w:rPr>
          <w:rFonts w:ascii="Arial" w:eastAsia="Arial" w:hAnsi="Arial" w:cs="Arial"/>
          <w:sz w:val="22"/>
          <w:szCs w:val="22"/>
        </w:rPr>
      </w:pPr>
    </w:p>
    <w:p w14:paraId="442C1E3B" w14:textId="77777777" w:rsidR="00F31DD1" w:rsidRDefault="00000000">
      <w:pPr>
        <w:jc w:val="both"/>
        <w:rPr>
          <w:rFonts w:ascii="Arial" w:eastAsia="Arial" w:hAnsi="Arial" w:cs="Arial"/>
          <w:sz w:val="22"/>
          <w:szCs w:val="22"/>
        </w:rPr>
      </w:pPr>
      <w:r>
        <w:rPr>
          <w:rFonts w:ascii="Arial" w:eastAsia="Arial" w:hAnsi="Arial" w:cs="Arial"/>
          <w:b/>
          <w:sz w:val="22"/>
          <w:szCs w:val="22"/>
        </w:rPr>
        <w:t>ARTÍCULO 6. Vigencia.</w:t>
      </w:r>
      <w:r>
        <w:rPr>
          <w:rFonts w:ascii="Arial" w:eastAsia="Arial" w:hAnsi="Arial" w:cs="Arial"/>
          <w:sz w:val="22"/>
          <w:szCs w:val="22"/>
        </w:rPr>
        <w:t xml:space="preserve"> El presente Acuerdo rige a partir de la fecha de su promulgación y publicación conforme a las disposiciones legales vigentes.</w:t>
      </w:r>
    </w:p>
    <w:p w14:paraId="6B90995E" w14:textId="77777777" w:rsidR="00F31DD1" w:rsidRDefault="00F31DD1">
      <w:pPr>
        <w:jc w:val="both"/>
        <w:rPr>
          <w:rFonts w:ascii="Arial" w:eastAsia="Arial" w:hAnsi="Arial" w:cs="Arial"/>
          <w:sz w:val="22"/>
          <w:szCs w:val="22"/>
        </w:rPr>
      </w:pPr>
    </w:p>
    <w:p w14:paraId="2558A67B" w14:textId="77777777" w:rsidR="00F31DD1" w:rsidRDefault="00F31DD1">
      <w:pPr>
        <w:jc w:val="both"/>
        <w:rPr>
          <w:rFonts w:ascii="Arial" w:eastAsia="Arial" w:hAnsi="Arial" w:cs="Arial"/>
          <w:sz w:val="22"/>
          <w:szCs w:val="22"/>
        </w:rPr>
      </w:pPr>
    </w:p>
    <w:p w14:paraId="54F795EC" w14:textId="77777777" w:rsidR="00F31DD1" w:rsidRDefault="00000000">
      <w:pPr>
        <w:widowControl w:val="0"/>
        <w:tabs>
          <w:tab w:val="left" w:pos="3576"/>
          <w:tab w:val="left" w:pos="5617"/>
        </w:tabs>
        <w:ind w:left="360"/>
        <w:jc w:val="center"/>
        <w:rPr>
          <w:rFonts w:ascii="Arial" w:eastAsia="Arial" w:hAnsi="Arial" w:cs="Arial"/>
          <w:b/>
          <w:sz w:val="22"/>
          <w:szCs w:val="22"/>
        </w:rPr>
      </w:pPr>
      <w:r>
        <w:rPr>
          <w:rFonts w:ascii="Arial" w:eastAsia="Arial" w:hAnsi="Arial" w:cs="Arial"/>
          <w:b/>
          <w:sz w:val="22"/>
          <w:szCs w:val="22"/>
        </w:rPr>
        <w:t>PUBLÍQUESE Y CÚMPLASE</w:t>
      </w:r>
    </w:p>
    <w:p w14:paraId="393F6563" w14:textId="77777777" w:rsidR="00F31DD1" w:rsidRDefault="00000000">
      <w:pPr>
        <w:widowControl w:val="0"/>
        <w:tabs>
          <w:tab w:val="left" w:pos="3576"/>
          <w:tab w:val="left" w:pos="5617"/>
        </w:tabs>
        <w:ind w:left="360"/>
        <w:jc w:val="center"/>
        <w:rPr>
          <w:rFonts w:ascii="Arial" w:eastAsia="Arial" w:hAnsi="Arial" w:cs="Arial"/>
          <w:sz w:val="22"/>
          <w:szCs w:val="22"/>
        </w:rPr>
      </w:pPr>
      <w:r>
        <w:rPr>
          <w:rFonts w:ascii="Arial" w:eastAsia="Arial" w:hAnsi="Arial" w:cs="Arial"/>
          <w:sz w:val="22"/>
          <w:szCs w:val="22"/>
        </w:rPr>
        <w:br/>
        <w:t xml:space="preserve">Dado en Bogotá, D.C., a los días del mes de </w:t>
      </w:r>
      <w:r>
        <w:rPr>
          <w:rFonts w:ascii="Arial" w:eastAsia="Arial" w:hAnsi="Arial" w:cs="Arial"/>
          <w:sz w:val="22"/>
          <w:szCs w:val="22"/>
          <w:u w:val="single"/>
        </w:rPr>
        <w:t xml:space="preserve">     </w:t>
      </w:r>
      <w:r>
        <w:rPr>
          <w:rFonts w:ascii="Arial" w:eastAsia="Arial" w:hAnsi="Arial" w:cs="Arial"/>
          <w:sz w:val="22"/>
          <w:szCs w:val="22"/>
          <w:u w:val="single"/>
        </w:rPr>
        <w:tab/>
      </w:r>
      <w:r>
        <w:rPr>
          <w:rFonts w:ascii="Arial" w:eastAsia="Arial" w:hAnsi="Arial" w:cs="Arial"/>
          <w:sz w:val="22"/>
          <w:szCs w:val="22"/>
        </w:rPr>
        <w:t>del año 2025</w:t>
      </w:r>
    </w:p>
    <w:p w14:paraId="50215AF5" w14:textId="77777777" w:rsidR="00F31DD1" w:rsidRDefault="00F31DD1">
      <w:pPr>
        <w:widowControl w:val="0"/>
        <w:tabs>
          <w:tab w:val="left" w:pos="3576"/>
          <w:tab w:val="left" w:pos="5617"/>
        </w:tabs>
        <w:ind w:left="360"/>
        <w:jc w:val="center"/>
        <w:rPr>
          <w:rFonts w:ascii="Arial" w:eastAsia="Arial" w:hAnsi="Arial" w:cs="Arial"/>
          <w:sz w:val="22"/>
          <w:szCs w:val="22"/>
        </w:rPr>
      </w:pPr>
    </w:p>
    <w:p w14:paraId="2AAB5A99" w14:textId="77777777" w:rsidR="00F31DD1" w:rsidRDefault="00F31DD1">
      <w:pPr>
        <w:widowControl w:val="0"/>
        <w:tabs>
          <w:tab w:val="left" w:pos="3576"/>
          <w:tab w:val="left" w:pos="5617"/>
        </w:tabs>
        <w:ind w:left="360"/>
        <w:jc w:val="center"/>
        <w:rPr>
          <w:rFonts w:ascii="Arial" w:eastAsia="Arial" w:hAnsi="Arial" w:cs="Arial"/>
          <w:sz w:val="22"/>
          <w:szCs w:val="22"/>
        </w:rPr>
      </w:pPr>
    </w:p>
    <w:p w14:paraId="0ABF6126" w14:textId="77777777" w:rsidR="00F31DD1" w:rsidRDefault="00F31DD1">
      <w:pPr>
        <w:widowControl w:val="0"/>
        <w:tabs>
          <w:tab w:val="left" w:pos="3576"/>
          <w:tab w:val="left" w:pos="5617"/>
        </w:tabs>
        <w:ind w:left="360"/>
        <w:jc w:val="center"/>
        <w:rPr>
          <w:rFonts w:ascii="Arial" w:eastAsia="Arial" w:hAnsi="Arial" w:cs="Arial"/>
          <w:sz w:val="22"/>
          <w:szCs w:val="22"/>
        </w:rPr>
      </w:pPr>
    </w:p>
    <w:p w14:paraId="6AFE9FCE" w14:textId="77777777" w:rsidR="00F31DD1" w:rsidRDefault="00000000">
      <w:pPr>
        <w:jc w:val="both"/>
        <w:rPr>
          <w:rFonts w:ascii="Arial" w:eastAsia="Arial" w:hAnsi="Arial" w:cs="Arial"/>
          <w:b/>
          <w:sz w:val="22"/>
          <w:szCs w:val="22"/>
        </w:rPr>
      </w:pPr>
      <w:r>
        <w:rPr>
          <w:rFonts w:ascii="Arial" w:eastAsia="Arial" w:hAnsi="Arial" w:cs="Arial"/>
          <w:b/>
          <w:sz w:val="22"/>
          <w:szCs w:val="22"/>
        </w:rPr>
        <w:lastRenderedPageBreak/>
        <w:t xml:space="preserve">12. BIBLIOGRAFÍA </w:t>
      </w:r>
    </w:p>
    <w:p w14:paraId="45459A19" w14:textId="77777777" w:rsidR="00F31DD1" w:rsidRDefault="00F31DD1">
      <w:pPr>
        <w:jc w:val="both"/>
        <w:rPr>
          <w:rFonts w:ascii="Arial" w:eastAsia="Arial" w:hAnsi="Arial" w:cs="Arial"/>
          <w:b/>
          <w:sz w:val="22"/>
          <w:szCs w:val="22"/>
        </w:rPr>
      </w:pPr>
    </w:p>
    <w:p w14:paraId="1A357917" w14:textId="77777777" w:rsidR="00F31DD1" w:rsidRDefault="00000000">
      <w:pPr>
        <w:spacing w:before="240" w:after="240"/>
        <w:jc w:val="both"/>
        <w:rPr>
          <w:rFonts w:ascii="Arial" w:eastAsia="Arial" w:hAnsi="Arial" w:cs="Arial"/>
          <w:color w:val="1155CC"/>
          <w:sz w:val="22"/>
          <w:szCs w:val="22"/>
          <w:u w:val="single"/>
        </w:rPr>
      </w:pPr>
      <w:r>
        <w:rPr>
          <w:rFonts w:ascii="Arial" w:eastAsia="Arial" w:hAnsi="Arial" w:cs="Arial"/>
          <w:sz w:val="22"/>
          <w:szCs w:val="22"/>
        </w:rPr>
        <w:t xml:space="preserve">Concejo de Bogotá. (2005). </w:t>
      </w:r>
      <w:r>
        <w:rPr>
          <w:rFonts w:ascii="Arial" w:eastAsia="Arial" w:hAnsi="Arial" w:cs="Arial"/>
          <w:i/>
          <w:sz w:val="22"/>
          <w:szCs w:val="22"/>
        </w:rPr>
        <w:t>Acuerdo 152 de 2005: Por el cual se modifica el Acuerdo 12 de 1998 y se adoptan medidas para la atención integral a víctimas de violencia intrafamiliar y violencia y explotación sexual</w:t>
      </w:r>
      <w:r>
        <w:rPr>
          <w:rFonts w:ascii="Arial" w:eastAsia="Arial" w:hAnsi="Arial" w:cs="Arial"/>
          <w:sz w:val="22"/>
          <w:szCs w:val="22"/>
        </w:rPr>
        <w:t>.</w:t>
      </w:r>
      <w:hyperlink r:id="rId17">
        <w:r w:rsidR="00F31DD1">
          <w:rPr>
            <w:rFonts w:ascii="Arial" w:eastAsia="Arial" w:hAnsi="Arial" w:cs="Arial"/>
            <w:sz w:val="22"/>
            <w:szCs w:val="22"/>
          </w:rPr>
          <w:t xml:space="preserve"> </w:t>
        </w:r>
      </w:hyperlink>
      <w:hyperlink r:id="rId18">
        <w:r w:rsidR="00F31DD1">
          <w:rPr>
            <w:rFonts w:ascii="Arial" w:eastAsia="Arial" w:hAnsi="Arial" w:cs="Arial"/>
            <w:color w:val="1155CC"/>
            <w:sz w:val="22"/>
            <w:szCs w:val="22"/>
            <w:u w:val="single"/>
          </w:rPr>
          <w:t>https://www.alcaldiabogota.gov.co/sisjur/normas/Norma1.jsp?i=16212</w:t>
        </w:r>
      </w:hyperlink>
    </w:p>
    <w:p w14:paraId="10733030" w14:textId="77777777" w:rsidR="00F31DD1" w:rsidRDefault="00000000">
      <w:pPr>
        <w:spacing w:before="240" w:after="240"/>
        <w:jc w:val="both"/>
        <w:rPr>
          <w:rFonts w:ascii="Arial" w:eastAsia="Arial" w:hAnsi="Arial" w:cs="Arial"/>
          <w:color w:val="1155CC"/>
          <w:sz w:val="22"/>
          <w:szCs w:val="22"/>
          <w:u w:val="single"/>
        </w:rPr>
      </w:pPr>
      <w:r>
        <w:rPr>
          <w:rFonts w:ascii="Arial" w:eastAsia="Arial" w:hAnsi="Arial" w:cs="Arial"/>
          <w:sz w:val="22"/>
          <w:szCs w:val="22"/>
        </w:rPr>
        <w:t xml:space="preserve">Concejo de Bogotá. (2009a). </w:t>
      </w:r>
      <w:r>
        <w:rPr>
          <w:rFonts w:ascii="Arial" w:eastAsia="Arial" w:hAnsi="Arial" w:cs="Arial"/>
          <w:i/>
          <w:sz w:val="22"/>
          <w:szCs w:val="22"/>
        </w:rPr>
        <w:t>Acuerdo 421 de 2009: Por el cual se ordena la creación del Sistema Distrital de Protección Integral a las mujeres víctimas de violencia y se dictan otras disposiciones</w:t>
      </w:r>
      <w:r>
        <w:rPr>
          <w:rFonts w:ascii="Arial" w:eastAsia="Arial" w:hAnsi="Arial" w:cs="Arial"/>
          <w:sz w:val="22"/>
          <w:szCs w:val="22"/>
        </w:rPr>
        <w:t>.</w:t>
      </w:r>
      <w:hyperlink r:id="rId19">
        <w:r w:rsidR="00F31DD1">
          <w:rPr>
            <w:rFonts w:ascii="Arial" w:eastAsia="Arial" w:hAnsi="Arial" w:cs="Arial"/>
            <w:sz w:val="22"/>
            <w:szCs w:val="22"/>
          </w:rPr>
          <w:t xml:space="preserve"> </w:t>
        </w:r>
      </w:hyperlink>
      <w:hyperlink r:id="rId20">
        <w:r w:rsidR="00F31DD1">
          <w:rPr>
            <w:rFonts w:ascii="Arial" w:eastAsia="Arial" w:hAnsi="Arial" w:cs="Arial"/>
            <w:color w:val="1155CC"/>
            <w:sz w:val="22"/>
            <w:szCs w:val="22"/>
            <w:u w:val="single"/>
          </w:rPr>
          <w:t>https://www.alcaldiabogota.gov.co/sisjur/normas/Norma1.jsp?i=38265</w:t>
        </w:r>
      </w:hyperlink>
    </w:p>
    <w:p w14:paraId="2E0C6A32" w14:textId="77777777" w:rsidR="00F31DD1" w:rsidRDefault="00000000">
      <w:pPr>
        <w:spacing w:before="240" w:after="240"/>
        <w:jc w:val="both"/>
        <w:rPr>
          <w:rFonts w:ascii="Arial" w:eastAsia="Arial" w:hAnsi="Arial" w:cs="Arial"/>
          <w:color w:val="1155CC"/>
          <w:sz w:val="22"/>
          <w:szCs w:val="22"/>
          <w:u w:val="single"/>
        </w:rPr>
      </w:pPr>
      <w:r>
        <w:rPr>
          <w:rFonts w:ascii="Arial" w:eastAsia="Arial" w:hAnsi="Arial" w:cs="Arial"/>
          <w:sz w:val="22"/>
          <w:szCs w:val="22"/>
        </w:rPr>
        <w:t xml:space="preserve">Concejo de Bogotá. (2009b). </w:t>
      </w:r>
      <w:r>
        <w:rPr>
          <w:rFonts w:ascii="Arial" w:eastAsia="Arial" w:hAnsi="Arial" w:cs="Arial"/>
          <w:i/>
          <w:sz w:val="22"/>
          <w:szCs w:val="22"/>
        </w:rPr>
        <w:t>Acuerdo 406 de 2009: Por medio del cual se fortalece la atención terapéutica como un componente de salud mental para los casos de violencia intrafamiliar y sexual en Bogotá, D.C.</w:t>
      </w:r>
      <w:hyperlink r:id="rId21">
        <w:r w:rsidR="00F31DD1">
          <w:rPr>
            <w:rFonts w:ascii="Arial" w:eastAsia="Arial" w:hAnsi="Arial" w:cs="Arial"/>
            <w:sz w:val="22"/>
            <w:szCs w:val="22"/>
          </w:rPr>
          <w:t xml:space="preserve"> </w:t>
        </w:r>
      </w:hyperlink>
      <w:hyperlink r:id="rId22">
        <w:r w:rsidR="00F31DD1">
          <w:rPr>
            <w:rFonts w:ascii="Arial" w:eastAsia="Arial" w:hAnsi="Arial" w:cs="Arial"/>
            <w:color w:val="1155CC"/>
            <w:sz w:val="22"/>
            <w:szCs w:val="22"/>
            <w:u w:val="single"/>
          </w:rPr>
          <w:t>https://www.alcaldiabogota.gov.co/sisjur/normas/Norma1.jsp?i=38066</w:t>
        </w:r>
      </w:hyperlink>
    </w:p>
    <w:p w14:paraId="2D52C1F4" w14:textId="77777777" w:rsidR="00F31DD1" w:rsidRDefault="00000000">
      <w:pPr>
        <w:spacing w:before="240" w:after="240"/>
        <w:jc w:val="both"/>
        <w:rPr>
          <w:rFonts w:ascii="Arial" w:eastAsia="Arial" w:hAnsi="Arial" w:cs="Arial"/>
          <w:color w:val="1155CC"/>
          <w:sz w:val="22"/>
          <w:szCs w:val="22"/>
          <w:u w:val="single"/>
        </w:rPr>
      </w:pPr>
      <w:r>
        <w:rPr>
          <w:rFonts w:ascii="Arial" w:eastAsia="Arial" w:hAnsi="Arial" w:cs="Arial"/>
          <w:sz w:val="22"/>
          <w:szCs w:val="22"/>
        </w:rPr>
        <w:t xml:space="preserve">Concejo de Bogotá. (2012). </w:t>
      </w:r>
      <w:r>
        <w:rPr>
          <w:rFonts w:ascii="Arial" w:eastAsia="Arial" w:hAnsi="Arial" w:cs="Arial"/>
          <w:i/>
          <w:sz w:val="22"/>
          <w:szCs w:val="22"/>
        </w:rPr>
        <w:t>Acuerdo 490 de 2012: Por el cual se crean el Sector Administrativo Mujeres y la Secretaría Distrital de la Mujer y se expiden otras disposiciones</w:t>
      </w:r>
      <w:r>
        <w:rPr>
          <w:rFonts w:ascii="Arial" w:eastAsia="Arial" w:hAnsi="Arial" w:cs="Arial"/>
          <w:sz w:val="22"/>
          <w:szCs w:val="22"/>
        </w:rPr>
        <w:t>.</w:t>
      </w:r>
      <w:hyperlink r:id="rId23">
        <w:r w:rsidR="00F31DD1">
          <w:rPr>
            <w:rFonts w:ascii="Arial" w:eastAsia="Arial" w:hAnsi="Arial" w:cs="Arial"/>
            <w:sz w:val="22"/>
            <w:szCs w:val="22"/>
          </w:rPr>
          <w:t xml:space="preserve"> </w:t>
        </w:r>
      </w:hyperlink>
      <w:hyperlink r:id="rId24">
        <w:r w:rsidR="00F31DD1">
          <w:rPr>
            <w:rFonts w:ascii="Arial" w:eastAsia="Arial" w:hAnsi="Arial" w:cs="Arial"/>
            <w:color w:val="1155CC"/>
            <w:sz w:val="22"/>
            <w:szCs w:val="22"/>
            <w:u w:val="single"/>
          </w:rPr>
          <w:t>https://www.alcaldiabogota.gov.co/sisjur/normas/Norma1.jsp?i=48201</w:t>
        </w:r>
      </w:hyperlink>
    </w:p>
    <w:p w14:paraId="5AE7738C" w14:textId="77777777" w:rsidR="00F31DD1" w:rsidRDefault="00000000">
      <w:pPr>
        <w:spacing w:before="240" w:after="240"/>
        <w:jc w:val="both"/>
        <w:rPr>
          <w:rFonts w:ascii="Arial" w:eastAsia="Arial" w:hAnsi="Arial" w:cs="Arial"/>
          <w:color w:val="1155CC"/>
          <w:sz w:val="22"/>
          <w:szCs w:val="22"/>
          <w:u w:val="single"/>
        </w:rPr>
      </w:pPr>
      <w:r>
        <w:rPr>
          <w:rFonts w:ascii="Arial" w:eastAsia="Arial" w:hAnsi="Arial" w:cs="Arial"/>
          <w:sz w:val="22"/>
          <w:szCs w:val="22"/>
        </w:rPr>
        <w:t xml:space="preserve">Concejo de Bogotá. (2017a). </w:t>
      </w:r>
      <w:r>
        <w:rPr>
          <w:rFonts w:ascii="Arial" w:eastAsia="Arial" w:hAnsi="Arial" w:cs="Arial"/>
          <w:i/>
          <w:sz w:val="22"/>
          <w:szCs w:val="22"/>
        </w:rPr>
        <w:t>Acuerdo 676 de 2017: Por el cual se establecen lineamientos para prevenir la violencia basada en género y el feminicidio en Bogotá D.C. y se dictan otras disposiciones</w:t>
      </w:r>
      <w:r>
        <w:rPr>
          <w:rFonts w:ascii="Arial" w:eastAsia="Arial" w:hAnsi="Arial" w:cs="Arial"/>
          <w:sz w:val="22"/>
          <w:szCs w:val="22"/>
        </w:rPr>
        <w:t>.</w:t>
      </w:r>
      <w:hyperlink r:id="rId25">
        <w:r w:rsidR="00F31DD1">
          <w:rPr>
            <w:rFonts w:ascii="Arial" w:eastAsia="Arial" w:hAnsi="Arial" w:cs="Arial"/>
            <w:sz w:val="22"/>
            <w:szCs w:val="22"/>
          </w:rPr>
          <w:t xml:space="preserve"> </w:t>
        </w:r>
      </w:hyperlink>
      <w:hyperlink r:id="rId26">
        <w:r w:rsidR="00F31DD1">
          <w:rPr>
            <w:rFonts w:ascii="Arial" w:eastAsia="Arial" w:hAnsi="Arial" w:cs="Arial"/>
            <w:color w:val="1155CC"/>
            <w:sz w:val="22"/>
            <w:szCs w:val="22"/>
            <w:u w:val="single"/>
          </w:rPr>
          <w:t>https://www.alcaldiabogota.gov.co/sisjur/normas/Norma1.jsp?i=69450</w:t>
        </w:r>
      </w:hyperlink>
    </w:p>
    <w:p w14:paraId="7C48ADC1" w14:textId="77777777" w:rsidR="00F31DD1" w:rsidRDefault="00000000">
      <w:pPr>
        <w:spacing w:before="240" w:after="240"/>
        <w:jc w:val="both"/>
        <w:rPr>
          <w:rFonts w:ascii="Arial" w:eastAsia="Arial" w:hAnsi="Arial" w:cs="Arial"/>
          <w:color w:val="1155CC"/>
          <w:sz w:val="22"/>
          <w:szCs w:val="22"/>
          <w:u w:val="single"/>
        </w:rPr>
      </w:pPr>
      <w:r>
        <w:rPr>
          <w:rFonts w:ascii="Arial" w:eastAsia="Arial" w:hAnsi="Arial" w:cs="Arial"/>
          <w:sz w:val="22"/>
          <w:szCs w:val="22"/>
        </w:rPr>
        <w:t xml:space="preserve">Concejo de Bogotá. (2017b). </w:t>
      </w:r>
      <w:r>
        <w:rPr>
          <w:rFonts w:ascii="Arial" w:eastAsia="Arial" w:hAnsi="Arial" w:cs="Arial"/>
          <w:i/>
          <w:sz w:val="22"/>
          <w:szCs w:val="22"/>
        </w:rPr>
        <w:t>Acuerdo 677 de 2017: Por el cual se crea el Sistema Distrital de Registro e Información Integral de Violencia de Género - VIOLETA</w:t>
      </w:r>
      <w:r>
        <w:rPr>
          <w:rFonts w:ascii="Arial" w:eastAsia="Arial" w:hAnsi="Arial" w:cs="Arial"/>
          <w:sz w:val="22"/>
          <w:szCs w:val="22"/>
        </w:rPr>
        <w:t>.</w:t>
      </w:r>
      <w:hyperlink r:id="rId27">
        <w:r w:rsidR="00F31DD1">
          <w:rPr>
            <w:rFonts w:ascii="Arial" w:eastAsia="Arial" w:hAnsi="Arial" w:cs="Arial"/>
            <w:sz w:val="22"/>
            <w:szCs w:val="22"/>
          </w:rPr>
          <w:t xml:space="preserve"> </w:t>
        </w:r>
      </w:hyperlink>
      <w:hyperlink r:id="rId28">
        <w:r w:rsidR="00F31DD1">
          <w:rPr>
            <w:rFonts w:ascii="Arial" w:eastAsia="Arial" w:hAnsi="Arial" w:cs="Arial"/>
            <w:color w:val="1155CC"/>
            <w:sz w:val="22"/>
            <w:szCs w:val="22"/>
            <w:u w:val="single"/>
          </w:rPr>
          <w:t>https://www.alcaldiabogota.gov.co/sisjur/normas/Norma1.jsp?i=69451</w:t>
        </w:r>
      </w:hyperlink>
    </w:p>
    <w:p w14:paraId="0B3EB489" w14:textId="77777777" w:rsidR="00F31DD1" w:rsidRDefault="00000000">
      <w:pPr>
        <w:spacing w:before="240" w:after="240"/>
        <w:jc w:val="both"/>
        <w:rPr>
          <w:rFonts w:ascii="Arial" w:eastAsia="Arial" w:hAnsi="Arial" w:cs="Arial"/>
          <w:color w:val="1155CC"/>
          <w:sz w:val="22"/>
          <w:szCs w:val="22"/>
          <w:u w:val="single"/>
        </w:rPr>
      </w:pPr>
      <w:r>
        <w:rPr>
          <w:rFonts w:ascii="Arial" w:eastAsia="Arial" w:hAnsi="Arial" w:cs="Arial"/>
          <w:sz w:val="22"/>
          <w:szCs w:val="22"/>
        </w:rPr>
        <w:t xml:space="preserve">Concejo de Bogotá. (2018). </w:t>
      </w:r>
      <w:r>
        <w:rPr>
          <w:rFonts w:ascii="Arial" w:eastAsia="Arial" w:hAnsi="Arial" w:cs="Arial"/>
          <w:i/>
          <w:sz w:val="22"/>
          <w:szCs w:val="22"/>
        </w:rPr>
        <w:t>Acuerdo 703 de 2018: Por medio del cual se actualiza el Sistema Distrital de Protección Integral a las Mujeres Víctimas de Violencias SOFIA y se dictan otras disposiciones</w:t>
      </w:r>
      <w:r>
        <w:rPr>
          <w:rFonts w:ascii="Arial" w:eastAsia="Arial" w:hAnsi="Arial" w:cs="Arial"/>
          <w:sz w:val="22"/>
          <w:szCs w:val="22"/>
        </w:rPr>
        <w:t>.</w:t>
      </w:r>
      <w:hyperlink r:id="rId29">
        <w:r w:rsidR="00F31DD1">
          <w:rPr>
            <w:rFonts w:ascii="Arial" w:eastAsia="Arial" w:hAnsi="Arial" w:cs="Arial"/>
            <w:sz w:val="22"/>
            <w:szCs w:val="22"/>
          </w:rPr>
          <w:t xml:space="preserve"> </w:t>
        </w:r>
      </w:hyperlink>
      <w:hyperlink r:id="rId30">
        <w:r w:rsidR="00F31DD1">
          <w:rPr>
            <w:rFonts w:ascii="Arial" w:eastAsia="Arial" w:hAnsi="Arial" w:cs="Arial"/>
            <w:color w:val="1155CC"/>
            <w:sz w:val="22"/>
            <w:szCs w:val="22"/>
            <w:u w:val="single"/>
          </w:rPr>
          <w:t>https://www.alcaldiabogota.gov.co/sisjur/normas/Norma1.jsp?i=76950</w:t>
        </w:r>
      </w:hyperlink>
    </w:p>
    <w:p w14:paraId="7FA0A323" w14:textId="77777777" w:rsidR="00F31DD1" w:rsidRDefault="00000000">
      <w:pPr>
        <w:spacing w:before="240" w:after="240"/>
        <w:jc w:val="both"/>
        <w:rPr>
          <w:rFonts w:ascii="Arial" w:eastAsia="Arial" w:hAnsi="Arial" w:cs="Arial"/>
          <w:color w:val="1155CC"/>
          <w:sz w:val="22"/>
          <w:szCs w:val="22"/>
          <w:u w:val="single"/>
        </w:rPr>
      </w:pPr>
      <w:r>
        <w:rPr>
          <w:rFonts w:ascii="Arial" w:eastAsia="Arial" w:hAnsi="Arial" w:cs="Arial"/>
          <w:sz w:val="22"/>
          <w:szCs w:val="22"/>
        </w:rPr>
        <w:t xml:space="preserve">Concejo de Bogotá. (2021). </w:t>
      </w:r>
      <w:r>
        <w:rPr>
          <w:rFonts w:ascii="Arial" w:eastAsia="Arial" w:hAnsi="Arial" w:cs="Arial"/>
          <w:i/>
          <w:sz w:val="22"/>
          <w:szCs w:val="22"/>
        </w:rPr>
        <w:t>Acuerdo 828 de 2021: Por el cual se establece el diseño, la implementación, monitoreo y evaluación de un plan distrital en prevención de violencia por razones de sexo y género con énfasis en violencia intrafamiliar y sexual</w:t>
      </w:r>
      <w:r>
        <w:rPr>
          <w:rFonts w:ascii="Arial" w:eastAsia="Arial" w:hAnsi="Arial" w:cs="Arial"/>
          <w:sz w:val="22"/>
          <w:szCs w:val="22"/>
        </w:rPr>
        <w:t>.</w:t>
      </w:r>
      <w:hyperlink r:id="rId31">
        <w:r w:rsidR="00F31DD1">
          <w:rPr>
            <w:rFonts w:ascii="Arial" w:eastAsia="Arial" w:hAnsi="Arial" w:cs="Arial"/>
            <w:sz w:val="22"/>
            <w:szCs w:val="22"/>
          </w:rPr>
          <w:t xml:space="preserve"> </w:t>
        </w:r>
      </w:hyperlink>
      <w:hyperlink r:id="rId32">
        <w:r w:rsidR="00F31DD1">
          <w:rPr>
            <w:rFonts w:ascii="Arial" w:eastAsia="Arial" w:hAnsi="Arial" w:cs="Arial"/>
            <w:color w:val="1155CC"/>
            <w:sz w:val="22"/>
            <w:szCs w:val="22"/>
            <w:u w:val="single"/>
          </w:rPr>
          <w:t>https://sisjur.bogotajuridica.gov.co/sisjur/normas/Norma1.jsp?i=116903</w:t>
        </w:r>
      </w:hyperlink>
    </w:p>
    <w:p w14:paraId="509F7ED5" w14:textId="77777777" w:rsidR="00F31DD1" w:rsidRDefault="00000000">
      <w:pPr>
        <w:spacing w:before="240" w:after="240"/>
        <w:jc w:val="both"/>
        <w:rPr>
          <w:rFonts w:ascii="Arial" w:eastAsia="Arial" w:hAnsi="Arial" w:cs="Arial"/>
          <w:color w:val="1155CC"/>
          <w:sz w:val="22"/>
          <w:szCs w:val="22"/>
          <w:u w:val="single"/>
        </w:rPr>
      </w:pPr>
      <w:r>
        <w:rPr>
          <w:rFonts w:ascii="Arial" w:eastAsia="Arial" w:hAnsi="Arial" w:cs="Arial"/>
          <w:sz w:val="22"/>
          <w:szCs w:val="22"/>
        </w:rPr>
        <w:t xml:space="preserve">Concejo de Bogotá. (2023). </w:t>
      </w:r>
      <w:r>
        <w:rPr>
          <w:rFonts w:ascii="Arial" w:eastAsia="Arial" w:hAnsi="Arial" w:cs="Arial"/>
          <w:i/>
          <w:sz w:val="22"/>
          <w:szCs w:val="22"/>
        </w:rPr>
        <w:t>Acuerdo 909 de 2023: Por medio del cual se promueve la creación de semilleros contra el machismo en los colegios del Distrito Capital</w:t>
      </w:r>
      <w:r>
        <w:rPr>
          <w:rFonts w:ascii="Arial" w:eastAsia="Arial" w:hAnsi="Arial" w:cs="Arial"/>
          <w:sz w:val="22"/>
          <w:szCs w:val="22"/>
        </w:rPr>
        <w:t>.</w:t>
      </w:r>
      <w:hyperlink r:id="rId33">
        <w:r w:rsidR="00F31DD1">
          <w:rPr>
            <w:rFonts w:ascii="Arial" w:eastAsia="Arial" w:hAnsi="Arial" w:cs="Arial"/>
            <w:sz w:val="22"/>
            <w:szCs w:val="22"/>
          </w:rPr>
          <w:t xml:space="preserve"> </w:t>
        </w:r>
      </w:hyperlink>
      <w:hyperlink r:id="rId34">
        <w:r w:rsidR="00F31DD1">
          <w:rPr>
            <w:rFonts w:ascii="Arial" w:eastAsia="Arial" w:hAnsi="Arial" w:cs="Arial"/>
            <w:color w:val="1155CC"/>
            <w:sz w:val="22"/>
            <w:szCs w:val="22"/>
            <w:u w:val="single"/>
          </w:rPr>
          <w:t>https://www.alcaldiabogota.gov.co/sisjur/normas/Norma1.jsp?i=148758</w:t>
        </w:r>
      </w:hyperlink>
    </w:p>
    <w:p w14:paraId="11D19ACE" w14:textId="77777777" w:rsidR="00F31DD1" w:rsidRDefault="00000000">
      <w:pPr>
        <w:spacing w:before="240" w:after="240"/>
        <w:jc w:val="both"/>
        <w:rPr>
          <w:rFonts w:ascii="Arial" w:eastAsia="Arial" w:hAnsi="Arial" w:cs="Arial"/>
          <w:sz w:val="22"/>
          <w:szCs w:val="22"/>
        </w:rPr>
      </w:pPr>
      <w:r>
        <w:rPr>
          <w:rFonts w:ascii="Arial" w:eastAsia="Arial" w:hAnsi="Arial" w:cs="Arial"/>
          <w:sz w:val="22"/>
          <w:szCs w:val="22"/>
        </w:rPr>
        <w:t xml:space="preserve">Concejo de Bogotá. (2013a). </w:t>
      </w:r>
      <w:r>
        <w:rPr>
          <w:rFonts w:ascii="Arial" w:eastAsia="Arial" w:hAnsi="Arial" w:cs="Arial"/>
          <w:i/>
          <w:sz w:val="22"/>
          <w:szCs w:val="22"/>
        </w:rPr>
        <w:t>Proyecto de Acuerdo 22 de 2013: Por el cual se dictan disposiciones tendientes a mejorar el acceso a la justicia y restablecimiento de derechos de las mujeres en Bogotá D.C.</w:t>
      </w:r>
      <w:r>
        <w:rPr>
          <w:rFonts w:ascii="Arial" w:eastAsia="Arial" w:hAnsi="Arial" w:cs="Arial"/>
          <w:sz w:val="22"/>
          <w:szCs w:val="22"/>
        </w:rPr>
        <w:t xml:space="preserve"> Archivo Concejo de Bogotá.</w:t>
      </w:r>
    </w:p>
    <w:p w14:paraId="312C9A1E" w14:textId="77777777" w:rsidR="00F31DD1" w:rsidRDefault="00000000">
      <w:pPr>
        <w:spacing w:before="240" w:after="240"/>
        <w:jc w:val="both"/>
        <w:rPr>
          <w:rFonts w:ascii="Arial" w:eastAsia="Arial" w:hAnsi="Arial" w:cs="Arial"/>
          <w:sz w:val="22"/>
          <w:szCs w:val="22"/>
        </w:rPr>
      </w:pPr>
      <w:r>
        <w:rPr>
          <w:rFonts w:ascii="Arial" w:eastAsia="Arial" w:hAnsi="Arial" w:cs="Arial"/>
          <w:sz w:val="22"/>
          <w:szCs w:val="22"/>
        </w:rPr>
        <w:lastRenderedPageBreak/>
        <w:t xml:space="preserve">Concejo de Bogotá. (2013b). </w:t>
      </w:r>
      <w:r>
        <w:rPr>
          <w:rFonts w:ascii="Arial" w:eastAsia="Arial" w:hAnsi="Arial" w:cs="Arial"/>
          <w:i/>
          <w:sz w:val="22"/>
          <w:szCs w:val="22"/>
        </w:rPr>
        <w:t>Proyecto de Acuerdo 104 de 2013: Por el cual se dictan disposiciones tendientes a mejorar el acceso a la justicia y restablecimiento de derechos de las mujeres en Bogotá D.C.</w:t>
      </w:r>
      <w:r>
        <w:rPr>
          <w:rFonts w:ascii="Arial" w:eastAsia="Arial" w:hAnsi="Arial" w:cs="Arial"/>
          <w:sz w:val="22"/>
          <w:szCs w:val="22"/>
        </w:rPr>
        <w:t xml:space="preserve"> Archivo Concejo de Bogotá.</w:t>
      </w:r>
    </w:p>
    <w:p w14:paraId="17213D1A" w14:textId="77777777" w:rsidR="00F31DD1" w:rsidRDefault="00000000">
      <w:pPr>
        <w:spacing w:before="240" w:after="240"/>
        <w:jc w:val="both"/>
        <w:rPr>
          <w:rFonts w:ascii="Arial" w:eastAsia="Arial" w:hAnsi="Arial" w:cs="Arial"/>
          <w:sz w:val="22"/>
          <w:szCs w:val="22"/>
        </w:rPr>
      </w:pPr>
      <w:r>
        <w:rPr>
          <w:rFonts w:ascii="Arial" w:eastAsia="Arial" w:hAnsi="Arial" w:cs="Arial"/>
          <w:sz w:val="22"/>
          <w:szCs w:val="22"/>
        </w:rPr>
        <w:t xml:space="preserve">Concejo de Bogotá. (2013c). </w:t>
      </w:r>
      <w:r>
        <w:rPr>
          <w:rFonts w:ascii="Arial" w:eastAsia="Arial" w:hAnsi="Arial" w:cs="Arial"/>
          <w:i/>
          <w:sz w:val="22"/>
          <w:szCs w:val="22"/>
        </w:rPr>
        <w:t>Proyecto de Acuerdo 150 de 2013: Por el cual se dictan disposiciones tendientes a mejorar el acceso a la justicia y restablecimiento de derechos de las mujeres en Bogotá D.C.</w:t>
      </w:r>
      <w:r>
        <w:rPr>
          <w:rFonts w:ascii="Arial" w:eastAsia="Arial" w:hAnsi="Arial" w:cs="Arial"/>
          <w:sz w:val="22"/>
          <w:szCs w:val="22"/>
        </w:rPr>
        <w:t xml:space="preserve"> Archivo Concejo de Bogotá.</w:t>
      </w:r>
    </w:p>
    <w:p w14:paraId="7131DDDE" w14:textId="77777777" w:rsidR="00F31DD1" w:rsidRDefault="00000000">
      <w:pPr>
        <w:spacing w:before="240" w:after="240"/>
        <w:jc w:val="both"/>
        <w:rPr>
          <w:rFonts w:ascii="Arial" w:eastAsia="Arial" w:hAnsi="Arial" w:cs="Arial"/>
          <w:sz w:val="22"/>
          <w:szCs w:val="22"/>
        </w:rPr>
      </w:pPr>
      <w:r>
        <w:rPr>
          <w:rFonts w:ascii="Arial" w:eastAsia="Arial" w:hAnsi="Arial" w:cs="Arial"/>
          <w:sz w:val="22"/>
          <w:szCs w:val="22"/>
        </w:rPr>
        <w:t xml:space="preserve">Concejo de Bogotá. (2013d). </w:t>
      </w:r>
      <w:r>
        <w:rPr>
          <w:rFonts w:ascii="Arial" w:eastAsia="Arial" w:hAnsi="Arial" w:cs="Arial"/>
          <w:i/>
          <w:sz w:val="22"/>
          <w:szCs w:val="22"/>
        </w:rPr>
        <w:t>Proyecto de Acuerdo 253 de 2013, acumulado con el Proyecto de Acuerdo 230: Por el cual se dictan disposiciones tendientes a mejorar el acceso a la justicia y restablecimiento de derechos de las mujeres en Bogotá D.C.</w:t>
      </w:r>
      <w:r>
        <w:rPr>
          <w:rFonts w:ascii="Arial" w:eastAsia="Arial" w:hAnsi="Arial" w:cs="Arial"/>
          <w:sz w:val="22"/>
          <w:szCs w:val="22"/>
        </w:rPr>
        <w:t xml:space="preserve"> Archivo Concejo de Bogotá.</w:t>
      </w:r>
    </w:p>
    <w:p w14:paraId="21197C2B" w14:textId="77777777" w:rsidR="00F31DD1" w:rsidRDefault="00000000">
      <w:pPr>
        <w:spacing w:before="240" w:after="240"/>
        <w:jc w:val="both"/>
        <w:rPr>
          <w:rFonts w:ascii="Arial" w:eastAsia="Arial" w:hAnsi="Arial" w:cs="Arial"/>
          <w:sz w:val="22"/>
          <w:szCs w:val="22"/>
        </w:rPr>
      </w:pPr>
      <w:r>
        <w:rPr>
          <w:rFonts w:ascii="Arial" w:eastAsia="Arial" w:hAnsi="Arial" w:cs="Arial"/>
          <w:sz w:val="22"/>
          <w:szCs w:val="22"/>
        </w:rPr>
        <w:t xml:space="preserve">Concejo de Bogotá. (2014). </w:t>
      </w:r>
      <w:r>
        <w:rPr>
          <w:rFonts w:ascii="Arial" w:eastAsia="Arial" w:hAnsi="Arial" w:cs="Arial"/>
          <w:i/>
          <w:sz w:val="22"/>
          <w:szCs w:val="22"/>
        </w:rPr>
        <w:t>Proyecto de Acuerdo 223 y 311 de 2014: Por el cual se dictan disposiciones tendientes a mejorar el acceso a la justicia y restablecimiento de derechos de las mujeres en Bogotá D.C.</w:t>
      </w:r>
      <w:r>
        <w:rPr>
          <w:rFonts w:ascii="Arial" w:eastAsia="Arial" w:hAnsi="Arial" w:cs="Arial"/>
          <w:sz w:val="22"/>
          <w:szCs w:val="22"/>
        </w:rPr>
        <w:t xml:space="preserve"> Archivo Concejo de Bogotá.</w:t>
      </w:r>
    </w:p>
    <w:p w14:paraId="69BD5476" w14:textId="77777777" w:rsidR="00F31DD1" w:rsidRDefault="00000000">
      <w:pPr>
        <w:spacing w:before="240" w:after="240"/>
        <w:jc w:val="both"/>
        <w:rPr>
          <w:rFonts w:ascii="Arial" w:eastAsia="Arial" w:hAnsi="Arial" w:cs="Arial"/>
          <w:sz w:val="22"/>
          <w:szCs w:val="22"/>
        </w:rPr>
      </w:pPr>
      <w:r>
        <w:rPr>
          <w:rFonts w:ascii="Arial" w:eastAsia="Arial" w:hAnsi="Arial" w:cs="Arial"/>
          <w:sz w:val="22"/>
          <w:szCs w:val="22"/>
        </w:rPr>
        <w:t xml:space="preserve">Concejo de Bogotá. (2025a). </w:t>
      </w:r>
      <w:r>
        <w:rPr>
          <w:rFonts w:ascii="Arial" w:eastAsia="Arial" w:hAnsi="Arial" w:cs="Arial"/>
          <w:i/>
          <w:sz w:val="22"/>
          <w:szCs w:val="22"/>
        </w:rPr>
        <w:t>Proyecto de Acuerdo 537 de 2025: Por medio del cual se conmemora el día de la lucha contra la violencia hacia las mujeres en las vías y el espacio público en el Distrito Capital</w:t>
      </w:r>
      <w:r>
        <w:rPr>
          <w:rFonts w:ascii="Arial" w:eastAsia="Arial" w:hAnsi="Arial" w:cs="Arial"/>
          <w:sz w:val="22"/>
          <w:szCs w:val="22"/>
        </w:rPr>
        <w:t>. Archivo Concejo de Bogotá.</w:t>
      </w:r>
    </w:p>
    <w:p w14:paraId="1F5E20B7" w14:textId="77777777" w:rsidR="00F31DD1" w:rsidRDefault="00000000">
      <w:pPr>
        <w:spacing w:before="240" w:after="240"/>
        <w:jc w:val="both"/>
        <w:rPr>
          <w:rFonts w:ascii="Arial" w:eastAsia="Arial" w:hAnsi="Arial" w:cs="Arial"/>
          <w:sz w:val="22"/>
          <w:szCs w:val="22"/>
        </w:rPr>
      </w:pPr>
      <w:r>
        <w:rPr>
          <w:rFonts w:ascii="Arial" w:eastAsia="Arial" w:hAnsi="Arial" w:cs="Arial"/>
          <w:sz w:val="22"/>
          <w:szCs w:val="22"/>
        </w:rPr>
        <w:t xml:space="preserve">Concejo de Bogotá. (2025b). </w:t>
      </w:r>
      <w:r>
        <w:rPr>
          <w:rFonts w:ascii="Arial" w:eastAsia="Arial" w:hAnsi="Arial" w:cs="Arial"/>
          <w:i/>
          <w:sz w:val="22"/>
          <w:szCs w:val="22"/>
        </w:rPr>
        <w:t>Proyecto de Acuerdo 629 de 2025: Por el cual se institucionaliza en el Distrito Capital el “Curso pedagógico sobre los Derechos de las Mujeres y la Familia, dentro del marco de las acciones contra la violencia en el contexto familiar y de género"</w:t>
      </w:r>
      <w:r>
        <w:rPr>
          <w:rFonts w:ascii="Arial" w:eastAsia="Arial" w:hAnsi="Arial" w:cs="Arial"/>
          <w:sz w:val="22"/>
          <w:szCs w:val="22"/>
        </w:rPr>
        <w:t>. Archivo Concejo de Bogotá.</w:t>
      </w:r>
    </w:p>
    <w:p w14:paraId="7919CAE5" w14:textId="77777777" w:rsidR="00F31DD1" w:rsidRDefault="00000000">
      <w:pPr>
        <w:spacing w:before="240" w:after="240"/>
        <w:jc w:val="both"/>
        <w:rPr>
          <w:rFonts w:ascii="Arial" w:eastAsia="Arial" w:hAnsi="Arial" w:cs="Arial"/>
          <w:sz w:val="22"/>
          <w:szCs w:val="22"/>
        </w:rPr>
      </w:pPr>
      <w:r>
        <w:rPr>
          <w:rFonts w:ascii="Arial" w:eastAsia="Arial" w:hAnsi="Arial" w:cs="Arial"/>
          <w:sz w:val="22"/>
          <w:szCs w:val="22"/>
        </w:rPr>
        <w:t xml:space="preserve">Concejo de Bogotá. (2025c). </w:t>
      </w:r>
      <w:r>
        <w:rPr>
          <w:rFonts w:ascii="Arial" w:eastAsia="Arial" w:hAnsi="Arial" w:cs="Arial"/>
          <w:i/>
          <w:sz w:val="22"/>
          <w:szCs w:val="22"/>
        </w:rPr>
        <w:t>Proyecto de Acuerdo 758 de 2025: Por medio del cual se dictan lineamientos para diseño, la formulación y elaboración de la política pública de mujeres cabeza de familia u hogares con jefatura femenina en Bogotá y se dictan otras disposiciones</w:t>
      </w:r>
      <w:r>
        <w:rPr>
          <w:rFonts w:ascii="Arial" w:eastAsia="Arial" w:hAnsi="Arial" w:cs="Arial"/>
          <w:sz w:val="22"/>
          <w:szCs w:val="22"/>
        </w:rPr>
        <w:t>. Archivo Concejo de Bogotá.</w:t>
      </w:r>
    </w:p>
    <w:p w14:paraId="6D8998CB" w14:textId="77777777" w:rsidR="00F31DD1" w:rsidRDefault="00000000">
      <w:pPr>
        <w:spacing w:before="240" w:after="240"/>
        <w:jc w:val="both"/>
        <w:rPr>
          <w:rFonts w:ascii="Arial" w:eastAsia="Arial" w:hAnsi="Arial" w:cs="Arial"/>
          <w:sz w:val="22"/>
          <w:szCs w:val="22"/>
        </w:rPr>
      </w:pPr>
      <w:r>
        <w:rPr>
          <w:rFonts w:ascii="Arial" w:eastAsia="Arial" w:hAnsi="Arial" w:cs="Arial"/>
          <w:sz w:val="22"/>
          <w:szCs w:val="22"/>
        </w:rPr>
        <w:t xml:space="preserve">Concejo de Bogotá. (2025d). </w:t>
      </w:r>
      <w:r>
        <w:rPr>
          <w:rFonts w:ascii="Arial" w:eastAsia="Arial" w:hAnsi="Arial" w:cs="Arial"/>
          <w:i/>
          <w:sz w:val="22"/>
          <w:szCs w:val="22"/>
        </w:rPr>
        <w:t>Proyecto de Acuerdo 389 de 2025: Por medio del cual se dan lineamientos para la construcción del protocolo “Pregunta por Ángela” en establecimientos de comercio, para prevenir la violencia contra las mujeres víctimas de violencia y en riesgo de feminicidio en Bogotá D.C y se dictan otras disposiciones</w:t>
      </w:r>
      <w:r>
        <w:rPr>
          <w:rFonts w:ascii="Arial" w:eastAsia="Arial" w:hAnsi="Arial" w:cs="Arial"/>
          <w:sz w:val="22"/>
          <w:szCs w:val="22"/>
        </w:rPr>
        <w:t>. Archivo Concejo de Bogotá.</w:t>
      </w:r>
    </w:p>
    <w:p w14:paraId="52B78946" w14:textId="77777777" w:rsidR="00F31DD1" w:rsidRDefault="00000000">
      <w:pPr>
        <w:spacing w:before="240" w:after="240"/>
        <w:jc w:val="both"/>
        <w:rPr>
          <w:rFonts w:ascii="Arial" w:eastAsia="Arial" w:hAnsi="Arial" w:cs="Arial"/>
          <w:sz w:val="22"/>
          <w:szCs w:val="22"/>
        </w:rPr>
      </w:pPr>
      <w:r>
        <w:rPr>
          <w:rFonts w:ascii="Arial" w:eastAsia="Arial" w:hAnsi="Arial" w:cs="Arial"/>
          <w:sz w:val="22"/>
          <w:szCs w:val="22"/>
        </w:rPr>
        <w:t xml:space="preserve">Corte Constitucional de Colombia. (2003). Sentencia T-510 de 2003. </w:t>
      </w:r>
      <w:hyperlink r:id="rId35">
        <w:r w:rsidR="00F31DD1">
          <w:rPr>
            <w:rFonts w:ascii="Arial" w:eastAsia="Arial" w:hAnsi="Arial" w:cs="Arial"/>
            <w:color w:val="1155CC"/>
            <w:sz w:val="22"/>
            <w:szCs w:val="22"/>
            <w:u w:val="single"/>
          </w:rPr>
          <w:t>https://www.corteconstitucional.gov.co/relatoria/2003/t-510-03.htm</w:t>
        </w:r>
      </w:hyperlink>
      <w:r>
        <w:rPr>
          <w:rFonts w:ascii="Arial" w:eastAsia="Arial" w:hAnsi="Arial" w:cs="Arial"/>
          <w:sz w:val="22"/>
          <w:szCs w:val="22"/>
        </w:rPr>
        <w:t xml:space="preserve"> </w:t>
      </w:r>
    </w:p>
    <w:p w14:paraId="661A2110" w14:textId="77777777" w:rsidR="00F31DD1" w:rsidRDefault="00000000">
      <w:pPr>
        <w:spacing w:before="240" w:after="240"/>
        <w:jc w:val="both"/>
        <w:rPr>
          <w:rFonts w:ascii="Arial" w:eastAsia="Arial" w:hAnsi="Arial" w:cs="Arial"/>
          <w:sz w:val="22"/>
          <w:szCs w:val="22"/>
        </w:rPr>
      </w:pPr>
      <w:r>
        <w:rPr>
          <w:rFonts w:ascii="Arial" w:eastAsia="Arial" w:hAnsi="Arial" w:cs="Arial"/>
          <w:sz w:val="22"/>
          <w:szCs w:val="22"/>
        </w:rPr>
        <w:t xml:space="preserve">Corte Constitucional de Colombia. (2020). Sentencia SU-080 de 2020. </w:t>
      </w:r>
      <w:hyperlink r:id="rId36">
        <w:r w:rsidR="00F31DD1">
          <w:rPr>
            <w:rFonts w:ascii="Arial" w:eastAsia="Arial" w:hAnsi="Arial" w:cs="Arial"/>
            <w:color w:val="1155CC"/>
            <w:sz w:val="22"/>
            <w:szCs w:val="22"/>
            <w:u w:val="single"/>
          </w:rPr>
          <w:t>https://www.corteconstitucional.gov.co/relatoria/2020/su080-20.htm</w:t>
        </w:r>
      </w:hyperlink>
      <w:r>
        <w:rPr>
          <w:rFonts w:ascii="Arial" w:eastAsia="Arial" w:hAnsi="Arial" w:cs="Arial"/>
          <w:sz w:val="22"/>
          <w:szCs w:val="22"/>
        </w:rPr>
        <w:t xml:space="preserve"> </w:t>
      </w:r>
    </w:p>
    <w:p w14:paraId="13734C77" w14:textId="77777777" w:rsidR="00F31DD1" w:rsidRDefault="00000000">
      <w:pPr>
        <w:spacing w:before="240" w:after="240"/>
        <w:jc w:val="both"/>
        <w:rPr>
          <w:rFonts w:ascii="Arial" w:eastAsia="Arial" w:hAnsi="Arial" w:cs="Arial"/>
          <w:sz w:val="22"/>
          <w:szCs w:val="22"/>
        </w:rPr>
      </w:pPr>
      <w:r>
        <w:rPr>
          <w:rFonts w:ascii="Arial" w:eastAsia="Arial" w:hAnsi="Arial" w:cs="Arial"/>
          <w:sz w:val="22"/>
          <w:szCs w:val="22"/>
        </w:rPr>
        <w:t xml:space="preserve">Corte Constitucional de Colombia. (2022). Sentencia T-245A de 2022. </w:t>
      </w:r>
      <w:hyperlink r:id="rId37">
        <w:r w:rsidR="00F31DD1">
          <w:rPr>
            <w:rFonts w:ascii="Arial" w:eastAsia="Arial" w:hAnsi="Arial" w:cs="Arial"/>
            <w:color w:val="1155CC"/>
            <w:sz w:val="22"/>
            <w:szCs w:val="22"/>
            <w:u w:val="single"/>
          </w:rPr>
          <w:t>https://www.corteconstitucional.gov.co/relatoria/2022/t-245a-22.htm</w:t>
        </w:r>
      </w:hyperlink>
      <w:r>
        <w:rPr>
          <w:rFonts w:ascii="Arial" w:eastAsia="Arial" w:hAnsi="Arial" w:cs="Arial"/>
          <w:sz w:val="22"/>
          <w:szCs w:val="22"/>
        </w:rPr>
        <w:t xml:space="preserve"> </w:t>
      </w:r>
    </w:p>
    <w:p w14:paraId="4949290D" w14:textId="77777777" w:rsidR="00F31DD1" w:rsidRDefault="00000000">
      <w:pPr>
        <w:spacing w:before="240" w:after="240"/>
        <w:jc w:val="both"/>
        <w:rPr>
          <w:rFonts w:ascii="Arial" w:eastAsia="Arial" w:hAnsi="Arial" w:cs="Arial"/>
          <w:sz w:val="22"/>
          <w:szCs w:val="22"/>
        </w:rPr>
      </w:pPr>
      <w:r>
        <w:rPr>
          <w:rFonts w:ascii="Arial" w:eastAsia="Arial" w:hAnsi="Arial" w:cs="Arial"/>
          <w:sz w:val="22"/>
          <w:szCs w:val="22"/>
        </w:rPr>
        <w:t xml:space="preserve">Corte Constitucional de Colombia. (2023a). Sentencia T-028 de 2023. </w:t>
      </w:r>
      <w:hyperlink r:id="rId38">
        <w:r w:rsidR="00F31DD1">
          <w:rPr>
            <w:rFonts w:ascii="Arial" w:eastAsia="Arial" w:hAnsi="Arial" w:cs="Arial"/>
            <w:color w:val="1155CC"/>
            <w:sz w:val="22"/>
            <w:szCs w:val="22"/>
            <w:u w:val="single"/>
          </w:rPr>
          <w:t>https://www.corteconstitucional.gov.co/relatoria/2023/t-028-23.htm</w:t>
        </w:r>
      </w:hyperlink>
      <w:r>
        <w:rPr>
          <w:rFonts w:ascii="Arial" w:eastAsia="Arial" w:hAnsi="Arial" w:cs="Arial"/>
          <w:sz w:val="22"/>
          <w:szCs w:val="22"/>
        </w:rPr>
        <w:t xml:space="preserve"> </w:t>
      </w:r>
    </w:p>
    <w:p w14:paraId="16B8BDED" w14:textId="77777777" w:rsidR="00F31DD1" w:rsidRDefault="00000000">
      <w:pPr>
        <w:spacing w:before="240" w:after="240"/>
        <w:jc w:val="both"/>
        <w:rPr>
          <w:rFonts w:ascii="Arial" w:eastAsia="Arial" w:hAnsi="Arial" w:cs="Arial"/>
          <w:sz w:val="22"/>
          <w:szCs w:val="22"/>
        </w:rPr>
      </w:pPr>
      <w:r>
        <w:rPr>
          <w:rFonts w:ascii="Arial" w:eastAsia="Arial" w:hAnsi="Arial" w:cs="Arial"/>
          <w:sz w:val="22"/>
          <w:szCs w:val="22"/>
        </w:rPr>
        <w:lastRenderedPageBreak/>
        <w:t xml:space="preserve">Corte Constitucional de Colombia. (2023b). Sentencia T-064 de 2023. </w:t>
      </w:r>
      <w:hyperlink r:id="rId39">
        <w:r w:rsidR="00F31DD1">
          <w:rPr>
            <w:rFonts w:ascii="Arial" w:eastAsia="Arial" w:hAnsi="Arial" w:cs="Arial"/>
            <w:color w:val="1155CC"/>
            <w:sz w:val="22"/>
            <w:szCs w:val="22"/>
            <w:u w:val="single"/>
          </w:rPr>
          <w:t>https://www.corteconstitucional.gov.co/relatoria/2023/t-064-23.htm</w:t>
        </w:r>
      </w:hyperlink>
      <w:r>
        <w:rPr>
          <w:rFonts w:ascii="Arial" w:eastAsia="Arial" w:hAnsi="Arial" w:cs="Arial"/>
          <w:sz w:val="22"/>
          <w:szCs w:val="22"/>
        </w:rPr>
        <w:t xml:space="preserve"> </w:t>
      </w:r>
    </w:p>
    <w:p w14:paraId="485AFDA5" w14:textId="77777777" w:rsidR="00F31DD1" w:rsidRDefault="00000000">
      <w:pPr>
        <w:spacing w:before="240" w:after="240"/>
        <w:jc w:val="both"/>
        <w:rPr>
          <w:rFonts w:ascii="Arial" w:eastAsia="Arial" w:hAnsi="Arial" w:cs="Arial"/>
          <w:sz w:val="22"/>
          <w:szCs w:val="22"/>
        </w:rPr>
      </w:pPr>
      <w:r>
        <w:rPr>
          <w:rFonts w:ascii="Arial" w:eastAsia="Arial" w:hAnsi="Arial" w:cs="Arial"/>
          <w:sz w:val="22"/>
          <w:szCs w:val="22"/>
        </w:rPr>
        <w:t xml:space="preserve">Corte Constitucional de Colombia. (2023c). Sentencia T-181 de 2023. </w:t>
      </w:r>
      <w:hyperlink r:id="rId40">
        <w:r w:rsidR="00F31DD1">
          <w:rPr>
            <w:rFonts w:ascii="Arial" w:eastAsia="Arial" w:hAnsi="Arial" w:cs="Arial"/>
            <w:color w:val="1155CC"/>
            <w:sz w:val="22"/>
            <w:szCs w:val="22"/>
            <w:u w:val="single"/>
          </w:rPr>
          <w:t>https://www.corteconstitucional.gov.co/relatoria/2023/t-181-23.htm</w:t>
        </w:r>
      </w:hyperlink>
      <w:r>
        <w:rPr>
          <w:rFonts w:ascii="Arial" w:eastAsia="Arial" w:hAnsi="Arial" w:cs="Arial"/>
          <w:sz w:val="22"/>
          <w:szCs w:val="22"/>
        </w:rPr>
        <w:t xml:space="preserve"> </w:t>
      </w:r>
    </w:p>
    <w:p w14:paraId="65C186E5" w14:textId="77777777" w:rsidR="00F31DD1" w:rsidRDefault="00000000">
      <w:pPr>
        <w:spacing w:before="240" w:after="240"/>
        <w:jc w:val="both"/>
        <w:rPr>
          <w:rFonts w:ascii="Arial" w:eastAsia="Arial" w:hAnsi="Arial" w:cs="Arial"/>
          <w:sz w:val="22"/>
          <w:szCs w:val="22"/>
        </w:rPr>
      </w:pPr>
      <w:r>
        <w:rPr>
          <w:rFonts w:ascii="Arial" w:eastAsia="Arial" w:hAnsi="Arial" w:cs="Arial"/>
          <w:sz w:val="22"/>
          <w:szCs w:val="22"/>
        </w:rPr>
        <w:t xml:space="preserve">Corte Constitucional de Colombia. (2023d). Sentencia T-219 de 2023. </w:t>
      </w:r>
      <w:hyperlink r:id="rId41">
        <w:r w:rsidR="00F31DD1">
          <w:rPr>
            <w:rFonts w:ascii="Arial" w:eastAsia="Arial" w:hAnsi="Arial" w:cs="Arial"/>
            <w:color w:val="1155CC"/>
            <w:sz w:val="22"/>
            <w:szCs w:val="22"/>
            <w:u w:val="single"/>
          </w:rPr>
          <w:t>https://www.corteconstitucional.gov.co/relatoria/2023/t-219-23.htm</w:t>
        </w:r>
      </w:hyperlink>
      <w:r>
        <w:rPr>
          <w:rFonts w:ascii="Arial" w:eastAsia="Arial" w:hAnsi="Arial" w:cs="Arial"/>
          <w:sz w:val="22"/>
          <w:szCs w:val="22"/>
        </w:rPr>
        <w:t xml:space="preserve"> </w:t>
      </w:r>
    </w:p>
    <w:p w14:paraId="4C60E4DE" w14:textId="77777777" w:rsidR="00F31DD1" w:rsidRDefault="00000000">
      <w:pPr>
        <w:spacing w:before="240" w:after="240"/>
        <w:jc w:val="both"/>
        <w:rPr>
          <w:rFonts w:ascii="Arial" w:eastAsia="Arial" w:hAnsi="Arial" w:cs="Arial"/>
          <w:sz w:val="22"/>
          <w:szCs w:val="22"/>
        </w:rPr>
      </w:pPr>
      <w:r>
        <w:rPr>
          <w:rFonts w:ascii="Arial" w:eastAsia="Arial" w:hAnsi="Arial" w:cs="Arial"/>
          <w:sz w:val="22"/>
          <w:szCs w:val="22"/>
        </w:rPr>
        <w:t xml:space="preserve">Corte Constitucional de Colombia. (2023e). Sentencia T-267 de 2023. </w:t>
      </w:r>
      <w:hyperlink r:id="rId42">
        <w:r w:rsidR="00F31DD1">
          <w:rPr>
            <w:rFonts w:ascii="Arial" w:eastAsia="Arial" w:hAnsi="Arial" w:cs="Arial"/>
            <w:color w:val="1155CC"/>
            <w:sz w:val="22"/>
            <w:szCs w:val="22"/>
            <w:u w:val="single"/>
          </w:rPr>
          <w:t>https://www.corteconstitucional.gov.co/relatoria/2023/t-267-23.htm</w:t>
        </w:r>
      </w:hyperlink>
      <w:r>
        <w:rPr>
          <w:rFonts w:ascii="Arial" w:eastAsia="Arial" w:hAnsi="Arial" w:cs="Arial"/>
          <w:sz w:val="22"/>
          <w:szCs w:val="22"/>
        </w:rPr>
        <w:t xml:space="preserve"> </w:t>
      </w:r>
    </w:p>
    <w:p w14:paraId="3C390525" w14:textId="77777777" w:rsidR="00F31DD1" w:rsidRDefault="00000000">
      <w:pPr>
        <w:spacing w:before="240" w:after="240"/>
        <w:jc w:val="both"/>
        <w:rPr>
          <w:rFonts w:ascii="Arial" w:eastAsia="Arial" w:hAnsi="Arial" w:cs="Arial"/>
          <w:sz w:val="22"/>
          <w:szCs w:val="22"/>
        </w:rPr>
      </w:pPr>
      <w:r>
        <w:rPr>
          <w:rFonts w:ascii="Arial" w:eastAsia="Arial" w:hAnsi="Arial" w:cs="Arial"/>
          <w:sz w:val="22"/>
          <w:szCs w:val="22"/>
        </w:rPr>
        <w:t xml:space="preserve">Corte Constitucional de Colombia. (2023f). Sentencia T-526 de 2023. </w:t>
      </w:r>
      <w:hyperlink r:id="rId43">
        <w:r w:rsidR="00F31DD1">
          <w:rPr>
            <w:rFonts w:ascii="Arial" w:eastAsia="Arial" w:hAnsi="Arial" w:cs="Arial"/>
            <w:color w:val="1155CC"/>
            <w:sz w:val="22"/>
            <w:szCs w:val="22"/>
            <w:u w:val="single"/>
          </w:rPr>
          <w:t>https://www.corteconstitucional.gov.co/relatoria/2023/t-526-23.htm</w:t>
        </w:r>
      </w:hyperlink>
      <w:r>
        <w:rPr>
          <w:rFonts w:ascii="Arial" w:eastAsia="Arial" w:hAnsi="Arial" w:cs="Arial"/>
          <w:sz w:val="22"/>
          <w:szCs w:val="22"/>
        </w:rPr>
        <w:t xml:space="preserve"> </w:t>
      </w:r>
    </w:p>
    <w:p w14:paraId="728736E1" w14:textId="77777777" w:rsidR="00F31DD1" w:rsidRDefault="00000000">
      <w:pPr>
        <w:spacing w:before="240" w:after="240"/>
        <w:jc w:val="both"/>
        <w:rPr>
          <w:rFonts w:ascii="Arial" w:eastAsia="Arial" w:hAnsi="Arial" w:cs="Arial"/>
          <w:sz w:val="22"/>
          <w:szCs w:val="22"/>
        </w:rPr>
      </w:pPr>
      <w:r>
        <w:rPr>
          <w:rFonts w:ascii="Arial" w:eastAsia="Arial" w:hAnsi="Arial" w:cs="Arial"/>
          <w:sz w:val="22"/>
          <w:szCs w:val="22"/>
        </w:rPr>
        <w:t xml:space="preserve">Corte Constitucional de Colombia. (2024a). Sentencia T-059 de 2025. </w:t>
      </w:r>
      <w:hyperlink r:id="rId44">
        <w:r w:rsidR="00F31DD1">
          <w:rPr>
            <w:rFonts w:ascii="Arial" w:eastAsia="Arial" w:hAnsi="Arial" w:cs="Arial"/>
            <w:color w:val="1155CC"/>
            <w:sz w:val="22"/>
            <w:szCs w:val="22"/>
            <w:u w:val="single"/>
          </w:rPr>
          <w:t>https://www.corteconstitucional.gov.co/relatoria/2025/t-059-25.htm</w:t>
        </w:r>
      </w:hyperlink>
      <w:r>
        <w:rPr>
          <w:rFonts w:ascii="Arial" w:eastAsia="Arial" w:hAnsi="Arial" w:cs="Arial"/>
          <w:sz w:val="22"/>
          <w:szCs w:val="22"/>
        </w:rPr>
        <w:t xml:space="preserve"> </w:t>
      </w:r>
    </w:p>
    <w:p w14:paraId="485138CB" w14:textId="77777777" w:rsidR="00F31DD1" w:rsidRDefault="00000000">
      <w:pPr>
        <w:spacing w:before="240" w:after="240"/>
        <w:jc w:val="both"/>
        <w:rPr>
          <w:rFonts w:ascii="Arial" w:eastAsia="Arial" w:hAnsi="Arial" w:cs="Arial"/>
          <w:sz w:val="22"/>
          <w:szCs w:val="22"/>
        </w:rPr>
      </w:pPr>
      <w:r>
        <w:rPr>
          <w:rFonts w:ascii="Arial" w:eastAsia="Arial" w:hAnsi="Arial" w:cs="Arial"/>
          <w:sz w:val="22"/>
          <w:szCs w:val="22"/>
        </w:rPr>
        <w:t xml:space="preserve">Corte Constitucional de Colombia. (2024b). Sentencia T-130 de 2024. </w:t>
      </w:r>
      <w:hyperlink r:id="rId45">
        <w:r w:rsidR="00F31DD1">
          <w:rPr>
            <w:rFonts w:ascii="Arial" w:eastAsia="Arial" w:hAnsi="Arial" w:cs="Arial"/>
            <w:color w:val="1155CC"/>
            <w:sz w:val="22"/>
            <w:szCs w:val="22"/>
            <w:u w:val="single"/>
          </w:rPr>
          <w:t>https://www.corteconstitucional.gov.co/relatoria/2024/t-130-24.htm</w:t>
        </w:r>
      </w:hyperlink>
      <w:r>
        <w:rPr>
          <w:rFonts w:ascii="Arial" w:eastAsia="Arial" w:hAnsi="Arial" w:cs="Arial"/>
          <w:sz w:val="22"/>
          <w:szCs w:val="22"/>
        </w:rPr>
        <w:t xml:space="preserve"> </w:t>
      </w:r>
    </w:p>
    <w:p w14:paraId="6EFCA2AD" w14:textId="77777777" w:rsidR="00F31DD1" w:rsidRDefault="00000000">
      <w:pPr>
        <w:spacing w:before="240" w:after="240"/>
        <w:jc w:val="both"/>
        <w:rPr>
          <w:rFonts w:ascii="Arial" w:eastAsia="Arial" w:hAnsi="Arial" w:cs="Arial"/>
          <w:sz w:val="22"/>
          <w:szCs w:val="22"/>
        </w:rPr>
      </w:pPr>
      <w:r>
        <w:rPr>
          <w:rFonts w:ascii="Arial" w:eastAsia="Arial" w:hAnsi="Arial" w:cs="Arial"/>
          <w:sz w:val="22"/>
          <w:szCs w:val="22"/>
        </w:rPr>
        <w:t xml:space="preserve">Corte Constitucional de Colombia. (2024c). Sentencia T-261 de 2024. </w:t>
      </w:r>
      <w:hyperlink r:id="rId46">
        <w:r w:rsidR="00F31DD1">
          <w:rPr>
            <w:rFonts w:ascii="Arial" w:eastAsia="Arial" w:hAnsi="Arial" w:cs="Arial"/>
            <w:color w:val="1155CC"/>
            <w:sz w:val="22"/>
            <w:szCs w:val="22"/>
            <w:u w:val="single"/>
          </w:rPr>
          <w:t>https://www.corteconstitucional.gov.co/relatoria/2024/t-261-24.htm</w:t>
        </w:r>
      </w:hyperlink>
      <w:r>
        <w:rPr>
          <w:rFonts w:ascii="Arial" w:eastAsia="Arial" w:hAnsi="Arial" w:cs="Arial"/>
          <w:sz w:val="22"/>
          <w:szCs w:val="22"/>
        </w:rPr>
        <w:t xml:space="preserve"> </w:t>
      </w:r>
    </w:p>
    <w:p w14:paraId="6CF9CC5E" w14:textId="77777777" w:rsidR="00F31DD1" w:rsidRDefault="00000000">
      <w:pPr>
        <w:spacing w:before="240" w:after="240"/>
        <w:jc w:val="both"/>
        <w:rPr>
          <w:rFonts w:ascii="Arial" w:eastAsia="Arial" w:hAnsi="Arial" w:cs="Arial"/>
          <w:sz w:val="22"/>
          <w:szCs w:val="22"/>
        </w:rPr>
      </w:pPr>
      <w:r>
        <w:rPr>
          <w:rFonts w:ascii="Arial" w:eastAsia="Arial" w:hAnsi="Arial" w:cs="Arial"/>
          <w:sz w:val="22"/>
          <w:szCs w:val="22"/>
        </w:rPr>
        <w:t xml:space="preserve">Corte Constitucional de Colombia. (2024d). Sentencia T-434 de 2024. </w:t>
      </w:r>
      <w:hyperlink r:id="rId47">
        <w:r w:rsidR="00F31DD1">
          <w:rPr>
            <w:rFonts w:ascii="Arial" w:eastAsia="Arial" w:hAnsi="Arial" w:cs="Arial"/>
            <w:color w:val="1155CC"/>
            <w:sz w:val="22"/>
            <w:szCs w:val="22"/>
            <w:u w:val="single"/>
          </w:rPr>
          <w:t>https://www.corteconstitucional.gov.co/relatoria/2024/t-434-24.htm</w:t>
        </w:r>
      </w:hyperlink>
      <w:r>
        <w:rPr>
          <w:rFonts w:ascii="Arial" w:eastAsia="Arial" w:hAnsi="Arial" w:cs="Arial"/>
          <w:sz w:val="22"/>
          <w:szCs w:val="22"/>
        </w:rPr>
        <w:t xml:space="preserve"> </w:t>
      </w:r>
    </w:p>
    <w:p w14:paraId="4622265D" w14:textId="77777777" w:rsidR="00F31DD1" w:rsidRDefault="00000000">
      <w:pPr>
        <w:spacing w:before="240" w:after="240"/>
        <w:jc w:val="both"/>
        <w:rPr>
          <w:rFonts w:ascii="Arial" w:eastAsia="Arial" w:hAnsi="Arial" w:cs="Arial"/>
          <w:sz w:val="22"/>
          <w:szCs w:val="22"/>
        </w:rPr>
      </w:pPr>
      <w:r>
        <w:rPr>
          <w:rFonts w:ascii="Arial" w:eastAsia="Arial" w:hAnsi="Arial" w:cs="Arial"/>
          <w:sz w:val="22"/>
          <w:szCs w:val="22"/>
        </w:rPr>
        <w:t xml:space="preserve">Corte Constitucional de Colombia. (2024e). Sentencia T-027 de 2025. </w:t>
      </w:r>
      <w:hyperlink r:id="rId48">
        <w:r w:rsidR="00F31DD1">
          <w:rPr>
            <w:rFonts w:ascii="Arial" w:eastAsia="Arial" w:hAnsi="Arial" w:cs="Arial"/>
            <w:color w:val="1155CC"/>
            <w:sz w:val="22"/>
            <w:szCs w:val="22"/>
            <w:u w:val="single"/>
          </w:rPr>
          <w:t>https://www.corteconstitucional.gov.co/relatoria/2025/t-027-25.htm</w:t>
        </w:r>
      </w:hyperlink>
      <w:r>
        <w:rPr>
          <w:rFonts w:ascii="Arial" w:eastAsia="Arial" w:hAnsi="Arial" w:cs="Arial"/>
          <w:sz w:val="22"/>
          <w:szCs w:val="22"/>
        </w:rPr>
        <w:t xml:space="preserve"> </w:t>
      </w:r>
    </w:p>
    <w:p w14:paraId="27268D23" w14:textId="77777777" w:rsidR="00F31DD1" w:rsidRDefault="00000000">
      <w:pPr>
        <w:spacing w:before="240" w:after="240"/>
        <w:jc w:val="both"/>
        <w:rPr>
          <w:rFonts w:ascii="Arial" w:eastAsia="Arial" w:hAnsi="Arial" w:cs="Arial"/>
          <w:sz w:val="22"/>
          <w:szCs w:val="22"/>
        </w:rPr>
      </w:pPr>
      <w:r>
        <w:rPr>
          <w:rFonts w:ascii="Arial" w:eastAsia="Arial" w:hAnsi="Arial" w:cs="Arial"/>
          <w:sz w:val="22"/>
          <w:szCs w:val="22"/>
        </w:rPr>
        <w:t xml:space="preserve">Corte Constitucional de Colombia. (2024f). Sentencia T-082 de 2025. </w:t>
      </w:r>
      <w:hyperlink r:id="rId49">
        <w:r w:rsidR="00F31DD1">
          <w:rPr>
            <w:rFonts w:ascii="Arial" w:eastAsia="Arial" w:hAnsi="Arial" w:cs="Arial"/>
            <w:color w:val="1155CC"/>
            <w:sz w:val="22"/>
            <w:szCs w:val="22"/>
            <w:u w:val="single"/>
          </w:rPr>
          <w:t>https://www.alcaldiabogota.gov.co/sisjur/normas/Norma1.jsp?i=178602</w:t>
        </w:r>
      </w:hyperlink>
      <w:r>
        <w:rPr>
          <w:rFonts w:ascii="Arial" w:eastAsia="Arial" w:hAnsi="Arial" w:cs="Arial"/>
          <w:sz w:val="22"/>
          <w:szCs w:val="22"/>
        </w:rPr>
        <w:t xml:space="preserve"> </w:t>
      </w:r>
    </w:p>
    <w:p w14:paraId="0D0138E8" w14:textId="77777777" w:rsidR="00F31DD1" w:rsidRDefault="00000000">
      <w:pPr>
        <w:spacing w:before="240" w:after="240"/>
        <w:jc w:val="both"/>
        <w:rPr>
          <w:rFonts w:ascii="Arial" w:eastAsia="Arial" w:hAnsi="Arial" w:cs="Arial"/>
          <w:sz w:val="22"/>
          <w:szCs w:val="22"/>
        </w:rPr>
      </w:pPr>
      <w:r>
        <w:rPr>
          <w:rFonts w:ascii="Arial" w:eastAsia="Arial" w:hAnsi="Arial" w:cs="Arial"/>
          <w:sz w:val="22"/>
          <w:szCs w:val="22"/>
        </w:rPr>
        <w:t xml:space="preserve">Corte Constitucional de Colombia. (2024g). Sentencia PT-401 de 2024. </w:t>
      </w:r>
      <w:hyperlink r:id="rId50">
        <w:r w:rsidR="00F31DD1">
          <w:rPr>
            <w:rFonts w:ascii="Arial" w:eastAsia="Arial" w:hAnsi="Arial" w:cs="Arial"/>
            <w:color w:val="1155CC"/>
            <w:sz w:val="22"/>
            <w:szCs w:val="22"/>
            <w:u w:val="single"/>
          </w:rPr>
          <w:t>https://www.corteconstitucional.gov.co/relatoria/2024/t-401-24.htm</w:t>
        </w:r>
      </w:hyperlink>
      <w:r>
        <w:rPr>
          <w:rFonts w:ascii="Arial" w:eastAsia="Arial" w:hAnsi="Arial" w:cs="Arial"/>
          <w:sz w:val="22"/>
          <w:szCs w:val="22"/>
        </w:rPr>
        <w:t xml:space="preserve"> </w:t>
      </w:r>
    </w:p>
    <w:p w14:paraId="02F0D0CF" w14:textId="77777777" w:rsidR="00F31DD1" w:rsidRDefault="00000000">
      <w:pPr>
        <w:spacing w:before="240" w:after="240"/>
        <w:jc w:val="both"/>
        <w:rPr>
          <w:rFonts w:ascii="Arial" w:eastAsia="Arial" w:hAnsi="Arial" w:cs="Arial"/>
          <w:sz w:val="22"/>
          <w:szCs w:val="22"/>
        </w:rPr>
      </w:pPr>
      <w:r>
        <w:rPr>
          <w:rFonts w:ascii="Arial" w:eastAsia="Arial" w:hAnsi="Arial" w:cs="Arial"/>
          <w:sz w:val="22"/>
          <w:szCs w:val="22"/>
        </w:rPr>
        <w:t xml:space="preserve">Corte Constitucional de Colombia. (2025a). Sentencia C-039 de 2025. </w:t>
      </w:r>
      <w:hyperlink r:id="rId51">
        <w:r w:rsidR="00F31DD1">
          <w:rPr>
            <w:rFonts w:ascii="Arial" w:eastAsia="Arial" w:hAnsi="Arial" w:cs="Arial"/>
            <w:color w:val="1155CC"/>
            <w:sz w:val="22"/>
            <w:szCs w:val="22"/>
            <w:u w:val="single"/>
          </w:rPr>
          <w:t>https://www.alcaldiabogota.gov.co/sisjur/normas/Norma1.jsp?i=175738</w:t>
        </w:r>
      </w:hyperlink>
      <w:r>
        <w:rPr>
          <w:rFonts w:ascii="Arial" w:eastAsia="Arial" w:hAnsi="Arial" w:cs="Arial"/>
          <w:sz w:val="22"/>
          <w:szCs w:val="22"/>
        </w:rPr>
        <w:t xml:space="preserve"> </w:t>
      </w:r>
    </w:p>
    <w:p w14:paraId="6B875556" w14:textId="77777777" w:rsidR="00F31DD1" w:rsidRDefault="00000000">
      <w:pPr>
        <w:jc w:val="both"/>
        <w:rPr>
          <w:rFonts w:ascii="Arial" w:eastAsia="Arial" w:hAnsi="Arial" w:cs="Arial"/>
          <w:sz w:val="22"/>
          <w:szCs w:val="22"/>
        </w:rPr>
      </w:pPr>
      <w:r>
        <w:rPr>
          <w:rFonts w:ascii="Arial" w:eastAsia="Arial" w:hAnsi="Arial" w:cs="Arial"/>
          <w:sz w:val="22"/>
          <w:szCs w:val="22"/>
        </w:rPr>
        <w:t xml:space="preserve">Observatorio de Salud de Bogotá. Violencia intrafamiliar y de género en Bogotá. </w:t>
      </w:r>
      <w:hyperlink r:id="rId52">
        <w:r w:rsidR="00F31DD1">
          <w:rPr>
            <w:rFonts w:ascii="Arial" w:eastAsia="Arial" w:hAnsi="Arial" w:cs="Arial"/>
            <w:color w:val="1155CC"/>
            <w:sz w:val="22"/>
            <w:szCs w:val="22"/>
            <w:u w:val="single"/>
          </w:rPr>
          <w:t>https://saludata.saludcapital.gov.co/osb/indicadores/violencia-intrafamiliar/</w:t>
        </w:r>
      </w:hyperlink>
    </w:p>
    <w:p w14:paraId="41E1B0AA" w14:textId="77777777" w:rsidR="00F31DD1" w:rsidRDefault="00F31DD1">
      <w:pPr>
        <w:jc w:val="both"/>
        <w:rPr>
          <w:rFonts w:ascii="Arial" w:eastAsia="Arial" w:hAnsi="Arial" w:cs="Arial"/>
          <w:sz w:val="22"/>
          <w:szCs w:val="22"/>
        </w:rPr>
      </w:pPr>
    </w:p>
    <w:p w14:paraId="0A43543C" w14:textId="77777777" w:rsidR="00F31DD1" w:rsidRDefault="00000000">
      <w:pPr>
        <w:jc w:val="both"/>
        <w:rPr>
          <w:rFonts w:ascii="Arial" w:eastAsia="Arial" w:hAnsi="Arial" w:cs="Arial"/>
          <w:sz w:val="22"/>
          <w:szCs w:val="22"/>
        </w:rPr>
      </w:pPr>
      <w:r>
        <w:rPr>
          <w:rFonts w:ascii="Arial" w:eastAsia="Arial" w:hAnsi="Arial" w:cs="Arial"/>
          <w:sz w:val="22"/>
          <w:szCs w:val="22"/>
        </w:rPr>
        <w:t xml:space="preserve">Organización Mundial de la Salud [OMS]. Violencia contra los niños. </w:t>
      </w:r>
    </w:p>
    <w:p w14:paraId="5403398B" w14:textId="77777777" w:rsidR="00F31DD1" w:rsidRDefault="00F31DD1">
      <w:pPr>
        <w:jc w:val="both"/>
        <w:rPr>
          <w:rFonts w:ascii="Arial" w:eastAsia="Arial" w:hAnsi="Arial" w:cs="Arial"/>
          <w:sz w:val="22"/>
          <w:szCs w:val="22"/>
        </w:rPr>
      </w:pPr>
      <w:hyperlink r:id="rId53">
        <w:r>
          <w:rPr>
            <w:rFonts w:ascii="Arial" w:eastAsia="Arial" w:hAnsi="Arial" w:cs="Arial"/>
            <w:color w:val="1155CC"/>
            <w:sz w:val="22"/>
            <w:szCs w:val="22"/>
            <w:u w:val="single"/>
          </w:rPr>
          <w:t>https://www.who.int/news-room/fact-sheets/detail/violence-against-children</w:t>
        </w:r>
      </w:hyperlink>
    </w:p>
    <w:p w14:paraId="1AC368BC" w14:textId="77777777" w:rsidR="00F31DD1" w:rsidRDefault="00F31DD1">
      <w:pPr>
        <w:jc w:val="both"/>
        <w:rPr>
          <w:rFonts w:ascii="Arial" w:eastAsia="Arial" w:hAnsi="Arial" w:cs="Arial"/>
          <w:sz w:val="22"/>
          <w:szCs w:val="22"/>
        </w:rPr>
      </w:pPr>
    </w:p>
    <w:p w14:paraId="5595A29A" w14:textId="77777777" w:rsidR="00F31DD1" w:rsidRDefault="00000000">
      <w:pPr>
        <w:jc w:val="both"/>
        <w:rPr>
          <w:rFonts w:ascii="Arial" w:eastAsia="Arial" w:hAnsi="Arial" w:cs="Arial"/>
          <w:sz w:val="22"/>
          <w:szCs w:val="22"/>
        </w:rPr>
      </w:pPr>
      <w:r>
        <w:rPr>
          <w:rFonts w:ascii="Arial" w:eastAsia="Arial" w:hAnsi="Arial" w:cs="Arial"/>
          <w:sz w:val="22"/>
          <w:szCs w:val="22"/>
        </w:rPr>
        <w:t xml:space="preserve">Ríos Lechuga, J. C., Alarcón Cuenca, J. M., &amp; </w:t>
      </w:r>
      <w:proofErr w:type="spellStart"/>
      <w:r>
        <w:rPr>
          <w:rFonts w:ascii="Arial" w:eastAsia="Arial" w:hAnsi="Arial" w:cs="Arial"/>
          <w:sz w:val="22"/>
          <w:szCs w:val="22"/>
        </w:rPr>
        <w:t>Lopez</w:t>
      </w:r>
      <w:proofErr w:type="spellEnd"/>
      <w:r>
        <w:rPr>
          <w:rFonts w:ascii="Arial" w:eastAsia="Arial" w:hAnsi="Arial" w:cs="Arial"/>
          <w:sz w:val="22"/>
          <w:szCs w:val="22"/>
        </w:rPr>
        <w:t xml:space="preserve">-Zafra, E. (2024). </w:t>
      </w:r>
      <w:proofErr w:type="spellStart"/>
      <w:r>
        <w:rPr>
          <w:rFonts w:ascii="Arial" w:eastAsia="Arial" w:hAnsi="Arial" w:cs="Arial"/>
          <w:sz w:val="22"/>
          <w:szCs w:val="22"/>
        </w:rPr>
        <w:t>Development</w:t>
      </w:r>
      <w:proofErr w:type="spellEnd"/>
      <w:r>
        <w:rPr>
          <w:rFonts w:ascii="Arial" w:eastAsia="Arial" w:hAnsi="Arial" w:cs="Arial"/>
          <w:sz w:val="22"/>
          <w:szCs w:val="22"/>
        </w:rPr>
        <w:t xml:space="preserve"> </w:t>
      </w:r>
      <w:proofErr w:type="spellStart"/>
      <w:r>
        <w:rPr>
          <w:rFonts w:ascii="Arial" w:eastAsia="Arial" w:hAnsi="Arial" w:cs="Arial"/>
          <w:sz w:val="22"/>
          <w:szCs w:val="22"/>
        </w:rPr>
        <w:t>of</w:t>
      </w:r>
      <w:proofErr w:type="spellEnd"/>
      <w:r>
        <w:rPr>
          <w:rFonts w:ascii="Arial" w:eastAsia="Arial" w:hAnsi="Arial" w:cs="Arial"/>
          <w:sz w:val="22"/>
          <w:szCs w:val="22"/>
        </w:rPr>
        <w:t xml:space="preserve"> </w:t>
      </w:r>
      <w:proofErr w:type="spellStart"/>
      <w:r>
        <w:rPr>
          <w:rFonts w:ascii="Arial" w:eastAsia="Arial" w:hAnsi="Arial" w:cs="Arial"/>
          <w:sz w:val="22"/>
          <w:szCs w:val="22"/>
        </w:rPr>
        <w:t>an</w:t>
      </w:r>
      <w:proofErr w:type="spellEnd"/>
      <w:r>
        <w:rPr>
          <w:rFonts w:ascii="Arial" w:eastAsia="Arial" w:hAnsi="Arial" w:cs="Arial"/>
          <w:sz w:val="22"/>
          <w:szCs w:val="22"/>
        </w:rPr>
        <w:t xml:space="preserve"> </w:t>
      </w:r>
      <w:proofErr w:type="spellStart"/>
      <w:r>
        <w:rPr>
          <w:rFonts w:ascii="Arial" w:eastAsia="Arial" w:hAnsi="Arial" w:cs="Arial"/>
          <w:sz w:val="22"/>
          <w:szCs w:val="22"/>
        </w:rPr>
        <w:t>index</w:t>
      </w:r>
      <w:proofErr w:type="spellEnd"/>
      <w:r>
        <w:rPr>
          <w:rFonts w:ascii="Arial" w:eastAsia="Arial" w:hAnsi="Arial" w:cs="Arial"/>
          <w:sz w:val="22"/>
          <w:szCs w:val="22"/>
        </w:rPr>
        <w:t xml:space="preserve"> </w:t>
      </w:r>
      <w:proofErr w:type="spellStart"/>
      <w:r>
        <w:rPr>
          <w:rFonts w:ascii="Arial" w:eastAsia="Arial" w:hAnsi="Arial" w:cs="Arial"/>
          <w:sz w:val="22"/>
          <w:szCs w:val="22"/>
        </w:rPr>
        <w:t>to</w:t>
      </w:r>
      <w:proofErr w:type="spellEnd"/>
      <w:r>
        <w:rPr>
          <w:rFonts w:ascii="Arial" w:eastAsia="Arial" w:hAnsi="Arial" w:cs="Arial"/>
          <w:sz w:val="22"/>
          <w:szCs w:val="22"/>
        </w:rPr>
        <w:t xml:space="preserve"> </w:t>
      </w:r>
      <w:proofErr w:type="spellStart"/>
      <w:r>
        <w:rPr>
          <w:rFonts w:ascii="Arial" w:eastAsia="Arial" w:hAnsi="Arial" w:cs="Arial"/>
          <w:sz w:val="22"/>
          <w:szCs w:val="22"/>
        </w:rPr>
        <w:t>evaluate</w:t>
      </w:r>
      <w:proofErr w:type="spellEnd"/>
      <w:r>
        <w:rPr>
          <w:rFonts w:ascii="Arial" w:eastAsia="Arial" w:hAnsi="Arial" w:cs="Arial"/>
          <w:sz w:val="22"/>
          <w:szCs w:val="22"/>
        </w:rPr>
        <w:t xml:space="preserve"> </w:t>
      </w:r>
      <w:proofErr w:type="spellStart"/>
      <w:r>
        <w:rPr>
          <w:rFonts w:ascii="Arial" w:eastAsia="Arial" w:hAnsi="Arial" w:cs="Arial"/>
          <w:sz w:val="22"/>
          <w:szCs w:val="22"/>
        </w:rPr>
        <w:t>children’s</w:t>
      </w:r>
      <w:proofErr w:type="spellEnd"/>
      <w:r>
        <w:rPr>
          <w:rFonts w:ascii="Arial" w:eastAsia="Arial" w:hAnsi="Arial" w:cs="Arial"/>
          <w:sz w:val="22"/>
          <w:szCs w:val="22"/>
        </w:rPr>
        <w:t xml:space="preserve"> </w:t>
      </w:r>
      <w:proofErr w:type="spellStart"/>
      <w:r>
        <w:rPr>
          <w:rFonts w:ascii="Arial" w:eastAsia="Arial" w:hAnsi="Arial" w:cs="Arial"/>
          <w:sz w:val="22"/>
          <w:szCs w:val="22"/>
        </w:rPr>
        <w:t>risk</w:t>
      </w:r>
      <w:proofErr w:type="spellEnd"/>
      <w:r>
        <w:rPr>
          <w:rFonts w:ascii="Arial" w:eastAsia="Arial" w:hAnsi="Arial" w:cs="Arial"/>
          <w:sz w:val="22"/>
          <w:szCs w:val="22"/>
        </w:rPr>
        <w:t xml:space="preserve"> </w:t>
      </w:r>
      <w:proofErr w:type="spellStart"/>
      <w:r>
        <w:rPr>
          <w:rFonts w:ascii="Arial" w:eastAsia="Arial" w:hAnsi="Arial" w:cs="Arial"/>
          <w:sz w:val="22"/>
          <w:szCs w:val="22"/>
        </w:rPr>
        <w:t>for</w:t>
      </w:r>
      <w:proofErr w:type="spellEnd"/>
      <w:r>
        <w:rPr>
          <w:rFonts w:ascii="Arial" w:eastAsia="Arial" w:hAnsi="Arial" w:cs="Arial"/>
          <w:sz w:val="22"/>
          <w:szCs w:val="22"/>
        </w:rPr>
        <w:t xml:space="preserve"> </w:t>
      </w:r>
      <w:proofErr w:type="spellStart"/>
      <w:r>
        <w:rPr>
          <w:rFonts w:ascii="Arial" w:eastAsia="Arial" w:hAnsi="Arial" w:cs="Arial"/>
          <w:sz w:val="22"/>
          <w:szCs w:val="22"/>
        </w:rPr>
        <w:t>being</w:t>
      </w:r>
      <w:proofErr w:type="spellEnd"/>
      <w:r>
        <w:rPr>
          <w:rFonts w:ascii="Arial" w:eastAsia="Arial" w:hAnsi="Arial" w:cs="Arial"/>
          <w:sz w:val="22"/>
          <w:szCs w:val="22"/>
        </w:rPr>
        <w:t xml:space="preserve"> </w:t>
      </w:r>
      <w:proofErr w:type="spellStart"/>
      <w:r>
        <w:rPr>
          <w:rFonts w:ascii="Arial" w:eastAsia="Arial" w:hAnsi="Arial" w:cs="Arial"/>
          <w:sz w:val="22"/>
          <w:szCs w:val="22"/>
        </w:rPr>
        <w:t>instrumentalized</w:t>
      </w:r>
      <w:proofErr w:type="spellEnd"/>
      <w:r>
        <w:rPr>
          <w:rFonts w:ascii="Arial" w:eastAsia="Arial" w:hAnsi="Arial" w:cs="Arial"/>
          <w:sz w:val="22"/>
          <w:szCs w:val="22"/>
        </w:rPr>
        <w:t xml:space="preserve"> in </w:t>
      </w:r>
      <w:proofErr w:type="spellStart"/>
      <w:r>
        <w:rPr>
          <w:rFonts w:ascii="Arial" w:eastAsia="Arial" w:hAnsi="Arial" w:cs="Arial"/>
          <w:sz w:val="22"/>
          <w:szCs w:val="22"/>
        </w:rPr>
        <w:t>intimate</w:t>
      </w:r>
      <w:proofErr w:type="spellEnd"/>
      <w:r>
        <w:rPr>
          <w:rFonts w:ascii="Arial" w:eastAsia="Arial" w:hAnsi="Arial" w:cs="Arial"/>
          <w:sz w:val="22"/>
          <w:szCs w:val="22"/>
        </w:rPr>
        <w:t xml:space="preserve"> </w:t>
      </w:r>
      <w:proofErr w:type="spellStart"/>
      <w:r>
        <w:rPr>
          <w:rFonts w:ascii="Arial" w:eastAsia="Arial" w:hAnsi="Arial" w:cs="Arial"/>
          <w:sz w:val="22"/>
          <w:szCs w:val="22"/>
        </w:rPr>
        <w:t>partner</w:t>
      </w:r>
      <w:proofErr w:type="spellEnd"/>
      <w:r>
        <w:rPr>
          <w:rFonts w:ascii="Arial" w:eastAsia="Arial" w:hAnsi="Arial" w:cs="Arial"/>
          <w:sz w:val="22"/>
          <w:szCs w:val="22"/>
        </w:rPr>
        <w:t xml:space="preserve"> </w:t>
      </w:r>
      <w:proofErr w:type="spellStart"/>
      <w:r>
        <w:rPr>
          <w:rFonts w:ascii="Arial" w:eastAsia="Arial" w:hAnsi="Arial" w:cs="Arial"/>
          <w:sz w:val="22"/>
          <w:szCs w:val="22"/>
        </w:rPr>
        <w:t>violence</w:t>
      </w:r>
      <w:proofErr w:type="spellEnd"/>
      <w:r>
        <w:rPr>
          <w:rFonts w:ascii="Arial" w:eastAsia="Arial" w:hAnsi="Arial" w:cs="Arial"/>
          <w:sz w:val="22"/>
          <w:szCs w:val="22"/>
        </w:rPr>
        <w:t xml:space="preserve"> </w:t>
      </w:r>
      <w:proofErr w:type="spellStart"/>
      <w:r>
        <w:rPr>
          <w:rFonts w:ascii="Arial" w:eastAsia="Arial" w:hAnsi="Arial" w:cs="Arial"/>
          <w:sz w:val="22"/>
          <w:szCs w:val="22"/>
        </w:rPr>
        <w:lastRenderedPageBreak/>
        <w:t>against</w:t>
      </w:r>
      <w:proofErr w:type="spellEnd"/>
      <w:r>
        <w:rPr>
          <w:rFonts w:ascii="Arial" w:eastAsia="Arial" w:hAnsi="Arial" w:cs="Arial"/>
          <w:sz w:val="22"/>
          <w:szCs w:val="22"/>
        </w:rPr>
        <w:t xml:space="preserve"> </w:t>
      </w:r>
      <w:proofErr w:type="spellStart"/>
      <w:r>
        <w:rPr>
          <w:rFonts w:ascii="Arial" w:eastAsia="Arial" w:hAnsi="Arial" w:cs="Arial"/>
          <w:sz w:val="22"/>
          <w:szCs w:val="22"/>
        </w:rPr>
        <w:t>women</w:t>
      </w:r>
      <w:proofErr w:type="spellEnd"/>
      <w:r>
        <w:rPr>
          <w:rFonts w:ascii="Arial" w:eastAsia="Arial" w:hAnsi="Arial" w:cs="Arial"/>
          <w:sz w:val="22"/>
          <w:szCs w:val="22"/>
        </w:rPr>
        <w:t xml:space="preserve"> </w:t>
      </w:r>
      <w:proofErr w:type="spellStart"/>
      <w:r>
        <w:rPr>
          <w:rFonts w:ascii="Arial" w:eastAsia="Arial" w:hAnsi="Arial" w:cs="Arial"/>
          <w:sz w:val="22"/>
          <w:szCs w:val="22"/>
        </w:rPr>
        <w:t>contexts</w:t>
      </w:r>
      <w:proofErr w:type="spellEnd"/>
      <w:r>
        <w:rPr>
          <w:rFonts w:ascii="Arial" w:eastAsia="Arial" w:hAnsi="Arial" w:cs="Arial"/>
          <w:sz w:val="22"/>
          <w:szCs w:val="22"/>
        </w:rPr>
        <w:t xml:space="preserve"> [El desarrollo de un índice para evaluar el riesgo de instrumentalización de los menores en contextos de violencia contra la mujer por parte de la pareja]. </w:t>
      </w:r>
      <w:proofErr w:type="spellStart"/>
      <w:r>
        <w:rPr>
          <w:rFonts w:ascii="Arial" w:eastAsia="Arial" w:hAnsi="Arial" w:cs="Arial"/>
          <w:sz w:val="22"/>
          <w:szCs w:val="22"/>
        </w:rPr>
        <w:t>European</w:t>
      </w:r>
      <w:proofErr w:type="spellEnd"/>
      <w:r>
        <w:rPr>
          <w:rFonts w:ascii="Arial" w:eastAsia="Arial" w:hAnsi="Arial" w:cs="Arial"/>
          <w:sz w:val="22"/>
          <w:szCs w:val="22"/>
        </w:rPr>
        <w:t xml:space="preserve"> </w:t>
      </w:r>
      <w:proofErr w:type="spellStart"/>
      <w:r>
        <w:rPr>
          <w:rFonts w:ascii="Arial" w:eastAsia="Arial" w:hAnsi="Arial" w:cs="Arial"/>
          <w:sz w:val="22"/>
          <w:szCs w:val="22"/>
        </w:rPr>
        <w:t>Journal</w:t>
      </w:r>
      <w:proofErr w:type="spellEnd"/>
      <w:r>
        <w:rPr>
          <w:rFonts w:ascii="Arial" w:eastAsia="Arial" w:hAnsi="Arial" w:cs="Arial"/>
          <w:sz w:val="22"/>
          <w:szCs w:val="22"/>
        </w:rPr>
        <w:t xml:space="preserve"> </w:t>
      </w:r>
      <w:proofErr w:type="spellStart"/>
      <w:r>
        <w:rPr>
          <w:rFonts w:ascii="Arial" w:eastAsia="Arial" w:hAnsi="Arial" w:cs="Arial"/>
          <w:sz w:val="22"/>
          <w:szCs w:val="22"/>
        </w:rPr>
        <w:t>of</w:t>
      </w:r>
      <w:proofErr w:type="spellEnd"/>
      <w:r>
        <w:rPr>
          <w:rFonts w:ascii="Arial" w:eastAsia="Arial" w:hAnsi="Arial" w:cs="Arial"/>
          <w:sz w:val="22"/>
          <w:szCs w:val="22"/>
        </w:rPr>
        <w:t xml:space="preserve"> </w:t>
      </w:r>
      <w:proofErr w:type="spellStart"/>
      <w:r>
        <w:rPr>
          <w:rFonts w:ascii="Arial" w:eastAsia="Arial" w:hAnsi="Arial" w:cs="Arial"/>
          <w:sz w:val="22"/>
          <w:szCs w:val="22"/>
        </w:rPr>
        <w:t>Psychology</w:t>
      </w:r>
      <w:proofErr w:type="spellEnd"/>
      <w:r>
        <w:rPr>
          <w:rFonts w:ascii="Arial" w:eastAsia="Arial" w:hAnsi="Arial" w:cs="Arial"/>
          <w:sz w:val="22"/>
          <w:szCs w:val="22"/>
        </w:rPr>
        <w:t xml:space="preserve"> </w:t>
      </w:r>
      <w:proofErr w:type="spellStart"/>
      <w:r>
        <w:rPr>
          <w:rFonts w:ascii="Arial" w:eastAsia="Arial" w:hAnsi="Arial" w:cs="Arial"/>
          <w:sz w:val="22"/>
          <w:szCs w:val="22"/>
        </w:rPr>
        <w:t>Applied</w:t>
      </w:r>
      <w:proofErr w:type="spellEnd"/>
      <w:r>
        <w:rPr>
          <w:rFonts w:ascii="Arial" w:eastAsia="Arial" w:hAnsi="Arial" w:cs="Arial"/>
          <w:sz w:val="22"/>
          <w:szCs w:val="22"/>
        </w:rPr>
        <w:t xml:space="preserve"> </w:t>
      </w:r>
      <w:proofErr w:type="spellStart"/>
      <w:r>
        <w:rPr>
          <w:rFonts w:ascii="Arial" w:eastAsia="Arial" w:hAnsi="Arial" w:cs="Arial"/>
          <w:sz w:val="22"/>
          <w:szCs w:val="22"/>
        </w:rPr>
        <w:t>to</w:t>
      </w:r>
      <w:proofErr w:type="spellEnd"/>
      <w:r>
        <w:rPr>
          <w:rFonts w:ascii="Arial" w:eastAsia="Arial" w:hAnsi="Arial" w:cs="Arial"/>
          <w:sz w:val="22"/>
          <w:szCs w:val="22"/>
        </w:rPr>
        <w:t xml:space="preserve"> Legal </w:t>
      </w:r>
      <w:proofErr w:type="spellStart"/>
      <w:r>
        <w:rPr>
          <w:rFonts w:ascii="Arial" w:eastAsia="Arial" w:hAnsi="Arial" w:cs="Arial"/>
          <w:sz w:val="22"/>
          <w:szCs w:val="22"/>
        </w:rPr>
        <w:t>Context</w:t>
      </w:r>
      <w:proofErr w:type="spellEnd"/>
      <w:r>
        <w:rPr>
          <w:rFonts w:ascii="Arial" w:eastAsia="Arial" w:hAnsi="Arial" w:cs="Arial"/>
          <w:sz w:val="22"/>
          <w:szCs w:val="22"/>
        </w:rPr>
        <w:t xml:space="preserve">, 16(2), 77–86. </w:t>
      </w:r>
      <w:hyperlink r:id="rId54">
        <w:r w:rsidR="00F31DD1">
          <w:rPr>
            <w:rFonts w:ascii="Arial" w:eastAsia="Arial" w:hAnsi="Arial" w:cs="Arial"/>
            <w:color w:val="1155CC"/>
            <w:sz w:val="22"/>
            <w:szCs w:val="22"/>
            <w:u w:val="single"/>
          </w:rPr>
          <w:t>https://doi.org/10.5093/ejpalc2024a7</w:t>
        </w:r>
      </w:hyperlink>
      <w:r>
        <w:rPr>
          <w:rFonts w:ascii="Arial" w:eastAsia="Arial" w:hAnsi="Arial" w:cs="Arial"/>
          <w:sz w:val="22"/>
          <w:szCs w:val="22"/>
        </w:rPr>
        <w:t xml:space="preserve"> </w:t>
      </w:r>
    </w:p>
    <w:p w14:paraId="688BD186" w14:textId="77777777" w:rsidR="00F31DD1" w:rsidRDefault="00F31DD1">
      <w:pPr>
        <w:jc w:val="both"/>
        <w:rPr>
          <w:rFonts w:ascii="Arial" w:eastAsia="Arial" w:hAnsi="Arial" w:cs="Arial"/>
          <w:sz w:val="22"/>
          <w:szCs w:val="22"/>
          <w:highlight w:val="yellow"/>
        </w:rPr>
      </w:pPr>
    </w:p>
    <w:p w14:paraId="56F1EAE1" w14:textId="77777777" w:rsidR="00F31DD1" w:rsidRDefault="00F31DD1">
      <w:pPr>
        <w:jc w:val="both"/>
        <w:rPr>
          <w:rFonts w:ascii="Arial" w:eastAsia="Arial" w:hAnsi="Arial" w:cs="Arial"/>
          <w:sz w:val="22"/>
          <w:szCs w:val="22"/>
        </w:rPr>
      </w:pPr>
    </w:p>
    <w:p w14:paraId="19CC947B" w14:textId="77777777" w:rsidR="00F31DD1" w:rsidRDefault="00000000">
      <w:pPr>
        <w:spacing w:line="200" w:lineRule="auto"/>
        <w:jc w:val="both"/>
        <w:rPr>
          <w:rFonts w:ascii="Arial" w:eastAsia="Arial" w:hAnsi="Arial" w:cs="Arial"/>
          <w:sz w:val="22"/>
          <w:szCs w:val="22"/>
        </w:rPr>
      </w:pPr>
      <w:r>
        <w:rPr>
          <w:rFonts w:ascii="Arial" w:eastAsia="Arial" w:hAnsi="Arial" w:cs="Arial"/>
          <w:sz w:val="22"/>
          <w:szCs w:val="22"/>
        </w:rPr>
        <w:t>Atentamente,</w:t>
      </w:r>
    </w:p>
    <w:p w14:paraId="5868E4E2" w14:textId="77777777" w:rsidR="00F31DD1" w:rsidRDefault="00F31DD1">
      <w:pPr>
        <w:spacing w:line="200" w:lineRule="auto"/>
        <w:jc w:val="both"/>
        <w:rPr>
          <w:rFonts w:ascii="Arial" w:eastAsia="Arial" w:hAnsi="Arial" w:cs="Arial"/>
          <w:sz w:val="22"/>
          <w:szCs w:val="22"/>
        </w:rPr>
      </w:pPr>
    </w:p>
    <w:p w14:paraId="4B21A6C4" w14:textId="77777777" w:rsidR="00F31DD1" w:rsidRDefault="00F31DD1">
      <w:pPr>
        <w:spacing w:line="200" w:lineRule="auto"/>
        <w:rPr>
          <w:rFonts w:ascii="Arial" w:eastAsia="Arial" w:hAnsi="Arial" w:cs="Arial"/>
          <w:b/>
          <w:sz w:val="22"/>
          <w:szCs w:val="22"/>
        </w:rPr>
      </w:pPr>
    </w:p>
    <w:p w14:paraId="65077FEC" w14:textId="77777777" w:rsidR="00F31DD1" w:rsidRDefault="00F31DD1">
      <w:pPr>
        <w:spacing w:line="200" w:lineRule="auto"/>
        <w:rPr>
          <w:rFonts w:ascii="Arial" w:eastAsia="Arial" w:hAnsi="Arial" w:cs="Arial"/>
          <w:b/>
          <w:sz w:val="22"/>
          <w:szCs w:val="22"/>
        </w:rPr>
      </w:pPr>
    </w:p>
    <w:p w14:paraId="6BC36EF4" w14:textId="57055E89" w:rsidR="00F31DD1" w:rsidRDefault="00F31DD1" w:rsidP="00B45D75">
      <w:pPr>
        <w:spacing w:line="200" w:lineRule="auto"/>
        <w:ind w:left="3600" w:firstLine="720"/>
        <w:rPr>
          <w:rFonts w:ascii="Arial" w:eastAsia="Arial" w:hAnsi="Arial" w:cs="Arial"/>
          <w:b/>
          <w:sz w:val="22"/>
          <w:szCs w:val="22"/>
        </w:rPr>
      </w:pPr>
    </w:p>
    <w:p w14:paraId="438467E6" w14:textId="77777777" w:rsidR="00F31DD1" w:rsidRDefault="00000000">
      <w:pPr>
        <w:spacing w:line="200" w:lineRule="auto"/>
        <w:rPr>
          <w:rFonts w:ascii="Arial" w:eastAsia="Arial" w:hAnsi="Arial" w:cs="Arial"/>
          <w:b/>
          <w:sz w:val="22"/>
          <w:szCs w:val="22"/>
        </w:rPr>
      </w:pPr>
      <w:r>
        <w:rPr>
          <w:rFonts w:ascii="Arial" w:eastAsia="Arial" w:hAnsi="Arial" w:cs="Arial"/>
          <w:b/>
          <w:sz w:val="22"/>
          <w:szCs w:val="22"/>
        </w:rPr>
        <w:t>_____________________________                _______________________________</w:t>
      </w:r>
    </w:p>
    <w:sdt>
      <w:sdtPr>
        <w:tag w:val="goog_rdk_2"/>
        <w:id w:val="735079985"/>
        <w:lock w:val="contentLocked"/>
      </w:sdtPr>
      <w:sdtContent>
        <w:tbl>
          <w:tblPr>
            <w:tblStyle w:val="ac"/>
            <w:tblW w:w="884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20"/>
            <w:gridCol w:w="4420"/>
          </w:tblGrid>
          <w:tr w:rsidR="00F31DD1" w14:paraId="23E0117E" w14:textId="77777777">
            <w:trPr>
              <w:trHeight w:val="1236"/>
            </w:trPr>
            <w:tc>
              <w:tcPr>
                <w:tcW w:w="442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4992B3B4" w14:textId="77777777" w:rsidR="00F31DD1" w:rsidRDefault="00000000">
                <w:pPr>
                  <w:rPr>
                    <w:rFonts w:ascii="Arial" w:eastAsia="Arial" w:hAnsi="Arial" w:cs="Arial"/>
                    <w:b/>
                    <w:sz w:val="22"/>
                    <w:szCs w:val="22"/>
                  </w:rPr>
                </w:pPr>
                <w:r>
                  <w:rPr>
                    <w:rFonts w:ascii="Arial" w:eastAsia="Arial" w:hAnsi="Arial" w:cs="Arial"/>
                    <w:b/>
                    <w:sz w:val="22"/>
                    <w:szCs w:val="22"/>
                  </w:rPr>
                  <w:t>ROCÍO DUSSÁN PÉREZ</w:t>
                </w:r>
              </w:p>
              <w:p w14:paraId="1C04CF5E" w14:textId="77777777" w:rsidR="00F31DD1" w:rsidRDefault="00000000">
                <w:pPr>
                  <w:rPr>
                    <w:rFonts w:ascii="Arial" w:eastAsia="Arial" w:hAnsi="Arial" w:cs="Arial"/>
                    <w:sz w:val="22"/>
                    <w:szCs w:val="22"/>
                  </w:rPr>
                </w:pPr>
                <w:r>
                  <w:rPr>
                    <w:rFonts w:ascii="Arial" w:eastAsia="Arial" w:hAnsi="Arial" w:cs="Arial"/>
                    <w:sz w:val="22"/>
                    <w:szCs w:val="22"/>
                  </w:rPr>
                  <w:t>Concejala de Bogotá, D. C.</w:t>
                </w:r>
              </w:p>
              <w:p w14:paraId="7F940DDB" w14:textId="77777777" w:rsidR="00F31DD1" w:rsidRDefault="00000000">
                <w:pPr>
                  <w:rPr>
                    <w:rFonts w:ascii="Arial" w:eastAsia="Arial" w:hAnsi="Arial" w:cs="Arial"/>
                    <w:sz w:val="22"/>
                    <w:szCs w:val="22"/>
                  </w:rPr>
                </w:pPr>
                <w:r>
                  <w:rPr>
                    <w:rFonts w:ascii="Arial" w:eastAsia="Arial" w:hAnsi="Arial" w:cs="Arial"/>
                    <w:sz w:val="22"/>
                    <w:szCs w:val="22"/>
                  </w:rPr>
                  <w:t>Partido Polo Democrático Alternativo</w:t>
                </w:r>
              </w:p>
              <w:p w14:paraId="6DE47A0D" w14:textId="77777777" w:rsidR="00F31DD1" w:rsidRDefault="00000000">
                <w:pPr>
                  <w:rPr>
                    <w:rFonts w:ascii="Arial" w:eastAsia="Arial" w:hAnsi="Arial" w:cs="Arial"/>
                    <w:sz w:val="22"/>
                    <w:szCs w:val="22"/>
                  </w:rPr>
                </w:pPr>
                <w:r>
                  <w:rPr>
                    <w:rFonts w:ascii="Arial" w:eastAsia="Arial" w:hAnsi="Arial" w:cs="Arial"/>
                    <w:sz w:val="22"/>
                    <w:szCs w:val="22"/>
                  </w:rPr>
                  <w:t>Coordinadora ponente</w:t>
                </w:r>
              </w:p>
            </w:tc>
            <w:tc>
              <w:tcPr>
                <w:tcW w:w="442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712B2959" w14:textId="77777777" w:rsidR="00F31DD1" w:rsidRDefault="00000000">
                <w:pPr>
                  <w:pBdr>
                    <w:top w:val="nil"/>
                    <w:left w:val="nil"/>
                    <w:bottom w:val="nil"/>
                    <w:right w:val="nil"/>
                    <w:between w:val="nil"/>
                  </w:pBdr>
                  <w:rPr>
                    <w:rFonts w:ascii="Arial" w:eastAsia="Arial" w:hAnsi="Arial" w:cs="Arial"/>
                    <w:b/>
                    <w:sz w:val="22"/>
                    <w:szCs w:val="22"/>
                  </w:rPr>
                </w:pPr>
                <w:r>
                  <w:rPr>
                    <w:rFonts w:ascii="Arial" w:eastAsia="Arial" w:hAnsi="Arial" w:cs="Arial"/>
                    <w:b/>
                    <w:sz w:val="22"/>
                    <w:szCs w:val="22"/>
                  </w:rPr>
                  <w:t>ARMANDO GUTIÉRREZ GONZÁLEZ</w:t>
                </w:r>
              </w:p>
              <w:p w14:paraId="1FDE3970" w14:textId="77777777" w:rsidR="00F31DD1" w:rsidRDefault="00000000">
                <w:p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Concejal de Bogotá</w:t>
                </w:r>
              </w:p>
              <w:p w14:paraId="2B4E4C24" w14:textId="77777777" w:rsidR="00F31DD1" w:rsidRDefault="00000000">
                <w:p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 xml:space="preserve">Partido Liberal </w:t>
                </w:r>
              </w:p>
              <w:p w14:paraId="75CBBB5F" w14:textId="77777777" w:rsidR="00F31DD1" w:rsidRDefault="00000000">
                <w:p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Ponente</w:t>
                </w:r>
              </w:p>
            </w:tc>
          </w:tr>
        </w:tbl>
      </w:sdtContent>
    </w:sdt>
    <w:p w14:paraId="660BCA7D" w14:textId="77777777" w:rsidR="00F31DD1" w:rsidRDefault="00F31DD1">
      <w:pPr>
        <w:spacing w:line="200" w:lineRule="auto"/>
        <w:rPr>
          <w:rFonts w:ascii="Arial" w:eastAsia="Arial" w:hAnsi="Arial" w:cs="Arial"/>
          <w:sz w:val="22"/>
          <w:szCs w:val="22"/>
        </w:rPr>
      </w:pPr>
    </w:p>
    <w:sectPr w:rsidR="00F31DD1">
      <w:headerReference w:type="default" r:id="rId55"/>
      <w:footerReference w:type="default" r:id="rId56"/>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ACDB9" w14:textId="77777777" w:rsidR="000759D4" w:rsidRDefault="000759D4">
      <w:r>
        <w:separator/>
      </w:r>
    </w:p>
  </w:endnote>
  <w:endnote w:type="continuationSeparator" w:id="0">
    <w:p w14:paraId="0DCEFAF5" w14:textId="77777777" w:rsidR="000759D4" w:rsidRDefault="00075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23761" w14:textId="77777777" w:rsidR="00F31DD1" w:rsidRDefault="00000000">
    <w:pPr>
      <w:pBdr>
        <w:top w:val="nil"/>
        <w:left w:val="nil"/>
        <w:bottom w:val="nil"/>
        <w:right w:val="nil"/>
        <w:between w:val="nil"/>
      </w:pBdr>
      <w:tabs>
        <w:tab w:val="center" w:pos="4419"/>
        <w:tab w:val="right" w:pos="8838"/>
      </w:tabs>
      <w:jc w:val="right"/>
      <w:rPr>
        <w:color w:val="000000"/>
      </w:rPr>
    </w:pPr>
    <w:r>
      <w:rPr>
        <w:rFonts w:ascii="Arial" w:eastAsia="Arial" w:hAnsi="Arial" w:cs="Arial"/>
        <w:color w:val="000000"/>
      </w:rPr>
      <w:fldChar w:fldCharType="begin"/>
    </w:r>
    <w:r>
      <w:rPr>
        <w:rFonts w:ascii="Arial" w:eastAsia="Arial" w:hAnsi="Arial" w:cs="Arial"/>
        <w:color w:val="000000"/>
      </w:rPr>
      <w:instrText>PAGE</w:instrText>
    </w:r>
    <w:r>
      <w:rPr>
        <w:rFonts w:ascii="Arial" w:eastAsia="Arial" w:hAnsi="Arial" w:cs="Arial"/>
        <w:color w:val="000000"/>
      </w:rPr>
      <w:fldChar w:fldCharType="separate"/>
    </w:r>
    <w:r w:rsidR="00B45D75">
      <w:rPr>
        <w:rFonts w:ascii="Arial" w:eastAsia="Arial" w:hAnsi="Arial" w:cs="Arial"/>
        <w:noProof/>
        <w:color w:val="000000"/>
      </w:rPr>
      <w:t>1</w:t>
    </w:r>
    <w:r>
      <w:rPr>
        <w:rFonts w:ascii="Arial" w:eastAsia="Arial" w:hAnsi="Arial" w:cs="Arial"/>
        <w:color w:val="000000"/>
      </w:rPr>
      <w:fldChar w:fldCharType="end"/>
    </w:r>
  </w:p>
  <w:p w14:paraId="40C357B5" w14:textId="77777777" w:rsidR="00F31DD1" w:rsidRDefault="00F31DD1">
    <w:pPr>
      <w:pBdr>
        <w:top w:val="nil"/>
        <w:left w:val="nil"/>
        <w:bottom w:val="nil"/>
        <w:right w:val="nil"/>
        <w:between w:val="nil"/>
      </w:pBdr>
      <w:tabs>
        <w:tab w:val="center" w:pos="4419"/>
        <w:tab w:val="right" w:pos="88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0A861" w14:textId="77777777" w:rsidR="000759D4" w:rsidRDefault="000759D4">
      <w:r>
        <w:separator/>
      </w:r>
    </w:p>
  </w:footnote>
  <w:footnote w:type="continuationSeparator" w:id="0">
    <w:p w14:paraId="4D85F34D" w14:textId="77777777" w:rsidR="000759D4" w:rsidRDefault="00075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BB8E2" w14:textId="77777777" w:rsidR="00F31DD1" w:rsidRDefault="00F31DD1">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d"/>
      <w:tblW w:w="883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61"/>
      <w:gridCol w:w="4235"/>
      <w:gridCol w:w="2234"/>
    </w:tblGrid>
    <w:tr w:rsidR="00F31DD1" w14:paraId="24F2D796" w14:textId="77777777">
      <w:trPr>
        <w:trHeight w:val="454"/>
      </w:trPr>
      <w:tc>
        <w:tcPr>
          <w:tcW w:w="2361" w:type="dxa"/>
          <w:vMerge w:val="restart"/>
          <w:vAlign w:val="center"/>
        </w:tcPr>
        <w:p w14:paraId="70C07FD4" w14:textId="77777777" w:rsidR="00F31DD1" w:rsidRDefault="00000000">
          <w:pPr>
            <w:jc w:val="center"/>
            <w:rPr>
              <w:rFonts w:ascii="Arial" w:eastAsia="Arial" w:hAnsi="Arial" w:cs="Arial"/>
              <w:sz w:val="16"/>
              <w:szCs w:val="16"/>
            </w:rPr>
          </w:pPr>
          <w:r>
            <w:rPr>
              <w:noProof/>
            </w:rPr>
            <w:drawing>
              <wp:anchor distT="0" distB="0" distL="0" distR="0" simplePos="0" relativeHeight="251658240" behindDoc="0" locked="0" layoutInCell="1" hidden="0" allowOverlap="1" wp14:anchorId="1DA310C2" wp14:editId="13C6A6AA">
                <wp:simplePos x="0" y="0"/>
                <wp:positionH relativeFrom="column">
                  <wp:posOffset>354965</wp:posOffset>
                </wp:positionH>
                <wp:positionV relativeFrom="paragraph">
                  <wp:posOffset>-24127</wp:posOffset>
                </wp:positionV>
                <wp:extent cx="676910" cy="835025"/>
                <wp:effectExtent l="0" t="0" r="0" b="0"/>
                <wp:wrapSquare wrapText="bothSides" distT="0" distB="0" distL="0" distR="0"/>
                <wp:docPr id="79920289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76910" cy="835025"/>
                        </a:xfrm>
                        <a:prstGeom prst="rect">
                          <a:avLst/>
                        </a:prstGeom>
                        <a:ln/>
                      </pic:spPr>
                    </pic:pic>
                  </a:graphicData>
                </a:graphic>
              </wp:anchor>
            </w:drawing>
          </w:r>
        </w:p>
      </w:tc>
      <w:tc>
        <w:tcPr>
          <w:tcW w:w="4235" w:type="dxa"/>
          <w:vAlign w:val="center"/>
        </w:tcPr>
        <w:p w14:paraId="23F4DE08" w14:textId="77777777" w:rsidR="00F31DD1" w:rsidRDefault="00000000">
          <w:pPr>
            <w:jc w:val="center"/>
            <w:rPr>
              <w:rFonts w:ascii="Arial" w:eastAsia="Arial" w:hAnsi="Arial" w:cs="Arial"/>
              <w:b/>
              <w:sz w:val="22"/>
              <w:szCs w:val="22"/>
            </w:rPr>
          </w:pPr>
          <w:r>
            <w:rPr>
              <w:rFonts w:ascii="Arial" w:eastAsia="Arial" w:hAnsi="Arial" w:cs="Arial"/>
              <w:b/>
              <w:sz w:val="22"/>
              <w:szCs w:val="22"/>
            </w:rPr>
            <w:t>PROCESO GESTIÓN NORMATIVA</w:t>
          </w:r>
        </w:p>
      </w:tc>
      <w:tc>
        <w:tcPr>
          <w:tcW w:w="2234" w:type="dxa"/>
          <w:vAlign w:val="center"/>
        </w:tcPr>
        <w:p w14:paraId="03F68FAF" w14:textId="77777777" w:rsidR="00F31DD1" w:rsidRDefault="00000000">
          <w:pPr>
            <w:rPr>
              <w:rFonts w:ascii="Arial" w:eastAsia="Arial" w:hAnsi="Arial" w:cs="Arial"/>
              <w:sz w:val="16"/>
              <w:szCs w:val="16"/>
            </w:rPr>
          </w:pPr>
          <w:r>
            <w:rPr>
              <w:rFonts w:ascii="Arial" w:eastAsia="Arial" w:hAnsi="Arial" w:cs="Arial"/>
              <w:sz w:val="16"/>
              <w:szCs w:val="16"/>
            </w:rPr>
            <w:t>CÓDIGO</w:t>
          </w:r>
          <w:r>
            <w:rPr>
              <w:rFonts w:ascii="Arial" w:eastAsia="Arial" w:hAnsi="Arial" w:cs="Arial"/>
              <w:color w:val="3366FF"/>
              <w:sz w:val="16"/>
              <w:szCs w:val="16"/>
            </w:rPr>
            <w:t xml:space="preserve">: </w:t>
          </w:r>
          <w:r>
            <w:rPr>
              <w:rFonts w:ascii="Arial" w:eastAsia="Arial" w:hAnsi="Arial" w:cs="Arial"/>
              <w:sz w:val="16"/>
              <w:szCs w:val="16"/>
            </w:rPr>
            <w:t>GNV-FO-001</w:t>
          </w:r>
        </w:p>
      </w:tc>
    </w:tr>
    <w:tr w:rsidR="00F31DD1" w14:paraId="55E3639D" w14:textId="77777777">
      <w:trPr>
        <w:trHeight w:val="454"/>
      </w:trPr>
      <w:tc>
        <w:tcPr>
          <w:tcW w:w="2361" w:type="dxa"/>
          <w:vMerge/>
          <w:vAlign w:val="center"/>
        </w:tcPr>
        <w:p w14:paraId="13455303" w14:textId="77777777" w:rsidR="00F31DD1" w:rsidRDefault="00F31DD1">
          <w:pPr>
            <w:widowControl w:val="0"/>
            <w:pBdr>
              <w:top w:val="nil"/>
              <w:left w:val="nil"/>
              <w:bottom w:val="nil"/>
              <w:right w:val="nil"/>
              <w:between w:val="nil"/>
            </w:pBdr>
            <w:spacing w:line="276" w:lineRule="auto"/>
            <w:rPr>
              <w:rFonts w:ascii="Arial" w:eastAsia="Arial" w:hAnsi="Arial" w:cs="Arial"/>
              <w:sz w:val="16"/>
              <w:szCs w:val="16"/>
            </w:rPr>
          </w:pPr>
        </w:p>
      </w:tc>
      <w:tc>
        <w:tcPr>
          <w:tcW w:w="4235" w:type="dxa"/>
          <w:vMerge w:val="restart"/>
          <w:vAlign w:val="center"/>
        </w:tcPr>
        <w:p w14:paraId="658E526F" w14:textId="77777777" w:rsidR="00F31DD1" w:rsidRDefault="00000000">
          <w:pPr>
            <w:jc w:val="center"/>
            <w:rPr>
              <w:rFonts w:ascii="Arial" w:eastAsia="Arial" w:hAnsi="Arial" w:cs="Arial"/>
              <w:b/>
              <w:sz w:val="22"/>
              <w:szCs w:val="22"/>
            </w:rPr>
          </w:pPr>
          <w:r>
            <w:rPr>
              <w:rFonts w:ascii="Arial" w:eastAsia="Arial" w:hAnsi="Arial" w:cs="Arial"/>
              <w:b/>
              <w:sz w:val="22"/>
              <w:szCs w:val="22"/>
            </w:rPr>
            <w:t>PRESENTACIÓN PROYECTOS DE ACUERDO</w:t>
          </w:r>
        </w:p>
      </w:tc>
      <w:tc>
        <w:tcPr>
          <w:tcW w:w="2234" w:type="dxa"/>
          <w:vAlign w:val="center"/>
        </w:tcPr>
        <w:p w14:paraId="1FFD5CF2" w14:textId="77777777" w:rsidR="00F31DD1" w:rsidRDefault="00000000">
          <w:pPr>
            <w:rPr>
              <w:rFonts w:ascii="Arial" w:eastAsia="Arial" w:hAnsi="Arial" w:cs="Arial"/>
              <w:sz w:val="16"/>
              <w:szCs w:val="16"/>
            </w:rPr>
          </w:pPr>
          <w:r>
            <w:rPr>
              <w:rFonts w:ascii="Arial" w:eastAsia="Arial" w:hAnsi="Arial" w:cs="Arial"/>
              <w:sz w:val="16"/>
              <w:szCs w:val="16"/>
            </w:rPr>
            <w:t>VERSIÓN:    02</w:t>
          </w:r>
        </w:p>
      </w:tc>
    </w:tr>
    <w:tr w:rsidR="00F31DD1" w14:paraId="4E583572" w14:textId="77777777">
      <w:trPr>
        <w:trHeight w:val="454"/>
      </w:trPr>
      <w:tc>
        <w:tcPr>
          <w:tcW w:w="2361" w:type="dxa"/>
          <w:vMerge/>
          <w:vAlign w:val="center"/>
        </w:tcPr>
        <w:p w14:paraId="0F71649E" w14:textId="77777777" w:rsidR="00F31DD1" w:rsidRDefault="00F31DD1">
          <w:pPr>
            <w:widowControl w:val="0"/>
            <w:pBdr>
              <w:top w:val="nil"/>
              <w:left w:val="nil"/>
              <w:bottom w:val="nil"/>
              <w:right w:val="nil"/>
              <w:between w:val="nil"/>
            </w:pBdr>
            <w:spacing w:line="276" w:lineRule="auto"/>
            <w:rPr>
              <w:rFonts w:ascii="Arial" w:eastAsia="Arial" w:hAnsi="Arial" w:cs="Arial"/>
              <w:sz w:val="16"/>
              <w:szCs w:val="16"/>
            </w:rPr>
          </w:pPr>
        </w:p>
      </w:tc>
      <w:tc>
        <w:tcPr>
          <w:tcW w:w="4235" w:type="dxa"/>
          <w:vMerge/>
          <w:vAlign w:val="center"/>
        </w:tcPr>
        <w:p w14:paraId="0C2DA811" w14:textId="77777777" w:rsidR="00F31DD1" w:rsidRDefault="00F31DD1">
          <w:pPr>
            <w:widowControl w:val="0"/>
            <w:pBdr>
              <w:top w:val="nil"/>
              <w:left w:val="nil"/>
              <w:bottom w:val="nil"/>
              <w:right w:val="nil"/>
              <w:between w:val="nil"/>
            </w:pBdr>
            <w:spacing w:line="276" w:lineRule="auto"/>
            <w:rPr>
              <w:rFonts w:ascii="Arial" w:eastAsia="Arial" w:hAnsi="Arial" w:cs="Arial"/>
              <w:sz w:val="16"/>
              <w:szCs w:val="16"/>
            </w:rPr>
          </w:pPr>
        </w:p>
      </w:tc>
      <w:tc>
        <w:tcPr>
          <w:tcW w:w="2234" w:type="dxa"/>
          <w:vAlign w:val="center"/>
        </w:tcPr>
        <w:p w14:paraId="4E953D29" w14:textId="77777777" w:rsidR="00F31DD1" w:rsidRDefault="00000000">
          <w:pPr>
            <w:rPr>
              <w:rFonts w:ascii="Arial" w:eastAsia="Arial" w:hAnsi="Arial" w:cs="Arial"/>
              <w:sz w:val="16"/>
              <w:szCs w:val="16"/>
            </w:rPr>
          </w:pPr>
          <w:r>
            <w:rPr>
              <w:rFonts w:ascii="Arial" w:eastAsia="Arial" w:hAnsi="Arial" w:cs="Arial"/>
              <w:sz w:val="16"/>
              <w:szCs w:val="16"/>
            </w:rPr>
            <w:t>FECHA: 04-Feb-2020</w:t>
          </w:r>
        </w:p>
      </w:tc>
    </w:tr>
  </w:tbl>
  <w:p w14:paraId="2907314E" w14:textId="77777777" w:rsidR="00F31DD1" w:rsidRDefault="00F31DD1">
    <w:pPr>
      <w:pBdr>
        <w:top w:val="nil"/>
        <w:left w:val="nil"/>
        <w:bottom w:val="nil"/>
        <w:right w:val="nil"/>
        <w:between w:val="nil"/>
      </w:pBdr>
      <w:tabs>
        <w:tab w:val="center" w:pos="4419"/>
        <w:tab w:val="right" w:pos="8838"/>
      </w:tabs>
      <w:rPr>
        <w:rFonts w:ascii="Arial" w:eastAsia="Arial" w:hAnsi="Arial" w:cs="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A2DED"/>
    <w:multiLevelType w:val="multilevel"/>
    <w:tmpl w:val="4EA6BE9E"/>
    <w:lvl w:ilvl="0">
      <w:start w:val="1"/>
      <w:numFmt w:val="decimal"/>
      <w:lvlText w:val="%1."/>
      <w:lvlJc w:val="left"/>
      <w:pPr>
        <w:ind w:left="794" w:hanging="358"/>
      </w:pPr>
      <w:rPr>
        <w:rFonts w:ascii="Arial" w:eastAsia="Arial" w:hAnsi="Arial" w:cs="Arial"/>
        <w:b w:val="0"/>
        <w:sz w:val="22"/>
        <w:szCs w:val="22"/>
      </w:rPr>
    </w:lvl>
    <w:lvl w:ilvl="1">
      <w:start w:val="1"/>
      <w:numFmt w:val="lowerLetter"/>
      <w:lvlText w:val="%2."/>
      <w:lvlJc w:val="left"/>
      <w:pPr>
        <w:ind w:left="1514" w:hanging="360"/>
      </w:pPr>
    </w:lvl>
    <w:lvl w:ilvl="2">
      <w:start w:val="1"/>
      <w:numFmt w:val="lowerRoman"/>
      <w:lvlText w:val="%3."/>
      <w:lvlJc w:val="right"/>
      <w:pPr>
        <w:ind w:left="2234" w:hanging="180"/>
      </w:pPr>
    </w:lvl>
    <w:lvl w:ilvl="3">
      <w:start w:val="1"/>
      <w:numFmt w:val="decimal"/>
      <w:lvlText w:val="%4."/>
      <w:lvlJc w:val="left"/>
      <w:pPr>
        <w:ind w:left="2954" w:hanging="360"/>
      </w:pPr>
    </w:lvl>
    <w:lvl w:ilvl="4">
      <w:start w:val="1"/>
      <w:numFmt w:val="lowerLetter"/>
      <w:lvlText w:val="%5."/>
      <w:lvlJc w:val="left"/>
      <w:pPr>
        <w:ind w:left="3674" w:hanging="360"/>
      </w:pPr>
    </w:lvl>
    <w:lvl w:ilvl="5">
      <w:start w:val="1"/>
      <w:numFmt w:val="lowerRoman"/>
      <w:lvlText w:val="%6."/>
      <w:lvlJc w:val="right"/>
      <w:pPr>
        <w:ind w:left="4394" w:hanging="180"/>
      </w:pPr>
    </w:lvl>
    <w:lvl w:ilvl="6">
      <w:start w:val="1"/>
      <w:numFmt w:val="decimal"/>
      <w:lvlText w:val="%7."/>
      <w:lvlJc w:val="left"/>
      <w:pPr>
        <w:ind w:left="5114" w:hanging="360"/>
      </w:pPr>
    </w:lvl>
    <w:lvl w:ilvl="7">
      <w:start w:val="1"/>
      <w:numFmt w:val="lowerLetter"/>
      <w:lvlText w:val="%8."/>
      <w:lvlJc w:val="left"/>
      <w:pPr>
        <w:ind w:left="5834" w:hanging="360"/>
      </w:pPr>
    </w:lvl>
    <w:lvl w:ilvl="8">
      <w:start w:val="1"/>
      <w:numFmt w:val="lowerRoman"/>
      <w:lvlText w:val="%9."/>
      <w:lvlJc w:val="right"/>
      <w:pPr>
        <w:ind w:left="6554" w:hanging="180"/>
      </w:pPr>
    </w:lvl>
  </w:abstractNum>
  <w:abstractNum w:abstractNumId="1" w15:restartNumberingAfterBreak="0">
    <w:nsid w:val="4FE424EB"/>
    <w:multiLevelType w:val="multilevel"/>
    <w:tmpl w:val="1678796A"/>
    <w:lvl w:ilvl="0">
      <w:start w:val="1"/>
      <w:numFmt w:val="decimal"/>
      <w:lvlText w:val="%1."/>
      <w:lvlJc w:val="right"/>
      <w:pPr>
        <w:ind w:left="720" w:hanging="360"/>
      </w:pPr>
      <w:rPr>
        <w:u w:val="none"/>
      </w:rPr>
    </w:lvl>
    <w:lvl w:ilvl="1">
      <w:start w:val="5"/>
      <w:numFmt w:val="bullet"/>
      <w:lvlText w:val="○"/>
      <w:lvlJc w:val="left"/>
      <w:pPr>
        <w:ind w:left="765" w:hanging="405"/>
      </w:pPr>
      <w:rPr>
        <w:u w:val="none"/>
      </w:rPr>
    </w:lvl>
    <w:lvl w:ilvl="2">
      <w:start w:val="1"/>
      <w:numFmt w:val="decimal"/>
      <w:lvlText w:val="%1.○.%3."/>
      <w:lvlJc w:val="right"/>
      <w:pPr>
        <w:ind w:left="1080" w:hanging="720"/>
      </w:pPr>
      <w:rPr>
        <w:u w:val="none"/>
      </w:rPr>
    </w:lvl>
    <w:lvl w:ilvl="3">
      <w:start w:val="1"/>
      <w:numFmt w:val="decimal"/>
      <w:lvlText w:val="%1.○.%3.%4."/>
      <w:lvlJc w:val="right"/>
      <w:pPr>
        <w:ind w:left="1440" w:hanging="1080"/>
      </w:pPr>
      <w:rPr>
        <w:u w:val="none"/>
      </w:rPr>
    </w:lvl>
    <w:lvl w:ilvl="4">
      <w:start w:val="1"/>
      <w:numFmt w:val="decimal"/>
      <w:lvlText w:val="%1.○.%3.%4.%5."/>
      <w:lvlJc w:val="right"/>
      <w:pPr>
        <w:ind w:left="1440" w:hanging="1080"/>
      </w:pPr>
      <w:rPr>
        <w:u w:val="none"/>
      </w:rPr>
    </w:lvl>
    <w:lvl w:ilvl="5">
      <w:start w:val="1"/>
      <w:numFmt w:val="decimal"/>
      <w:lvlText w:val="%1.○.%3.%4.%5.%6."/>
      <w:lvlJc w:val="right"/>
      <w:pPr>
        <w:ind w:left="1800" w:hanging="1440"/>
      </w:pPr>
      <w:rPr>
        <w:u w:val="none"/>
      </w:rPr>
    </w:lvl>
    <w:lvl w:ilvl="6">
      <w:start w:val="1"/>
      <w:numFmt w:val="decimal"/>
      <w:lvlText w:val="%1.○.%3.%4.%5.%6.%7."/>
      <w:lvlJc w:val="right"/>
      <w:pPr>
        <w:ind w:left="1800" w:hanging="1440"/>
      </w:pPr>
      <w:rPr>
        <w:u w:val="none"/>
      </w:rPr>
    </w:lvl>
    <w:lvl w:ilvl="7">
      <w:start w:val="1"/>
      <w:numFmt w:val="decimal"/>
      <w:lvlText w:val="%1.○.%3.%4.%5.%6.%7.%8."/>
      <w:lvlJc w:val="right"/>
      <w:pPr>
        <w:ind w:left="2160" w:hanging="1800"/>
      </w:pPr>
      <w:rPr>
        <w:u w:val="none"/>
      </w:rPr>
    </w:lvl>
    <w:lvl w:ilvl="8">
      <w:start w:val="1"/>
      <w:numFmt w:val="decimal"/>
      <w:lvlText w:val="%1.○.%3.%4.%5.%6.%7.%8.%9."/>
      <w:lvlJc w:val="right"/>
      <w:pPr>
        <w:ind w:left="2160" w:hanging="1800"/>
      </w:pPr>
      <w:rPr>
        <w:u w:val="none"/>
      </w:rPr>
    </w:lvl>
  </w:abstractNum>
  <w:num w:numId="1" w16cid:durableId="672561986">
    <w:abstractNumId w:val="1"/>
  </w:num>
  <w:num w:numId="2" w16cid:durableId="4054170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DD1"/>
    <w:rsid w:val="000759D4"/>
    <w:rsid w:val="00137B2A"/>
    <w:rsid w:val="00841EFE"/>
    <w:rsid w:val="00AB1286"/>
    <w:rsid w:val="00B45D75"/>
    <w:rsid w:val="00C02F89"/>
    <w:rsid w:val="00E24C30"/>
    <w:rsid w:val="00F31DD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7AB12"/>
  <w15:docId w15:val="{63CBAA66-1DAF-429B-8B5E-71DEDE5C1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240"/>
      <w:outlineLvl w:val="0"/>
    </w:pPr>
    <w:rPr>
      <w:rFonts w:ascii="Calibri" w:eastAsia="Calibri" w:hAnsi="Calibri" w:cs="Calibri"/>
      <w:color w:val="2F5496"/>
      <w:sz w:val="32"/>
      <w:szCs w:val="32"/>
    </w:rPr>
  </w:style>
  <w:style w:type="paragraph" w:styleId="Ttulo2">
    <w:name w:val="heading 2"/>
    <w:basedOn w:val="Normal"/>
    <w:next w:val="Normal"/>
    <w:uiPriority w:val="9"/>
    <w:unhideWhenUsed/>
    <w:qFormat/>
    <w:pPr>
      <w:outlineLvl w:val="1"/>
    </w:pPr>
    <w:rPr>
      <w:b/>
      <w:sz w:val="36"/>
      <w:szCs w:val="36"/>
    </w:rPr>
  </w:style>
  <w:style w:type="paragraph" w:styleId="Ttulo3">
    <w:name w:val="heading 3"/>
    <w:basedOn w:val="Normal"/>
    <w:next w:val="Normal"/>
    <w:uiPriority w:val="9"/>
    <w:unhideWhenUsed/>
    <w:qFormat/>
    <w:pPr>
      <w:outlineLvl w:val="2"/>
    </w:pPr>
    <w:rPr>
      <w:b/>
      <w:sz w:val="27"/>
      <w:szCs w:val="27"/>
    </w:rPr>
  </w:style>
  <w:style w:type="paragraph" w:styleId="Ttulo4">
    <w:name w:val="heading 4"/>
    <w:basedOn w:val="Normal"/>
    <w:next w:val="Normal"/>
    <w:uiPriority w:val="9"/>
    <w:semiHidden/>
    <w:unhideWhenUsed/>
    <w:qFormat/>
    <w:pPr>
      <w:keepNext/>
      <w:keepLines/>
      <w:spacing w:before="40"/>
      <w:outlineLvl w:val="3"/>
    </w:pPr>
    <w:rPr>
      <w:rFonts w:ascii="Calibri" w:eastAsia="Calibri" w:hAnsi="Calibri" w:cs="Calibri"/>
      <w:i/>
      <w:color w:val="2F5496"/>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Sangra2detindependiente">
    <w:name w:val="Body Text Indent 2"/>
    <w:basedOn w:val="Normal"/>
    <w:link w:val="Sangra2detindependienteCar"/>
    <w:rsid w:val="0013463A"/>
    <w:pPr>
      <w:ind w:left="426"/>
      <w:jc w:val="both"/>
    </w:pPr>
    <w:rPr>
      <w:rFonts w:ascii="Arial" w:hAnsi="Arial"/>
      <w:lang w:val="es-ES" w:eastAsia="es-ES"/>
    </w:rPr>
  </w:style>
  <w:style w:type="character" w:customStyle="1" w:styleId="Sangra2detindependienteCar">
    <w:name w:val="Sangría 2 de t. independiente Car"/>
    <w:basedOn w:val="Fuentedeprrafopredeter"/>
    <w:link w:val="Sangra2detindependiente"/>
    <w:rsid w:val="0013463A"/>
    <w:rPr>
      <w:rFonts w:ascii="Arial" w:eastAsia="Times New Roman" w:hAnsi="Arial" w:cs="Times New Roman"/>
      <w:szCs w:val="24"/>
      <w:lang w:val="es-ES" w:eastAsia="es-ES"/>
    </w:rPr>
  </w:style>
  <w:style w:type="paragraph" w:styleId="Prrafodelista">
    <w:name w:val="List Paragraph"/>
    <w:basedOn w:val="Normal"/>
    <w:uiPriority w:val="34"/>
    <w:qFormat/>
    <w:rsid w:val="0013463A"/>
    <w:pPr>
      <w:ind w:left="720"/>
      <w:contextualSpacing/>
    </w:pPr>
  </w:style>
  <w:style w:type="paragraph" w:styleId="NormalWeb">
    <w:name w:val="Normal (Web)"/>
    <w:basedOn w:val="Normal"/>
    <w:uiPriority w:val="99"/>
    <w:unhideWhenUsed/>
    <w:rsid w:val="00CD195A"/>
    <w:pPr>
      <w:spacing w:before="100" w:beforeAutospacing="1" w:after="100" w:afterAutospacing="1"/>
    </w:pPr>
  </w:style>
  <w:style w:type="character" w:customStyle="1" w:styleId="Ttulo2Car">
    <w:name w:val="Título 2 Car"/>
    <w:basedOn w:val="Fuentedeprrafopredeter"/>
    <w:uiPriority w:val="9"/>
    <w:rsid w:val="00CF0FB6"/>
    <w:rPr>
      <w:rFonts w:ascii="Times New Roman" w:eastAsia="Times New Roman" w:hAnsi="Times New Roman" w:cs="Times New Roman"/>
      <w:b/>
      <w:bCs/>
      <w:sz w:val="36"/>
      <w:szCs w:val="36"/>
      <w:lang w:eastAsia="es-CO"/>
    </w:rPr>
  </w:style>
  <w:style w:type="character" w:customStyle="1" w:styleId="Ttulo3Car">
    <w:name w:val="Título 3 Car"/>
    <w:basedOn w:val="Fuentedeprrafopredeter"/>
    <w:uiPriority w:val="9"/>
    <w:rsid w:val="00CF0FB6"/>
    <w:rPr>
      <w:rFonts w:ascii="Times New Roman" w:eastAsia="Times New Roman" w:hAnsi="Times New Roman" w:cs="Times New Roman"/>
      <w:b/>
      <w:bCs/>
      <w:sz w:val="27"/>
      <w:szCs w:val="27"/>
      <w:lang w:eastAsia="es-CO"/>
    </w:rPr>
  </w:style>
  <w:style w:type="paragraph" w:customStyle="1" w:styleId="msonormal0">
    <w:name w:val="msonormal"/>
    <w:basedOn w:val="Normal"/>
    <w:rsid w:val="00CF0FB6"/>
    <w:pPr>
      <w:spacing w:before="100" w:beforeAutospacing="1" w:after="100" w:afterAutospacing="1"/>
    </w:pPr>
  </w:style>
  <w:style w:type="paragraph" w:customStyle="1" w:styleId="contenido">
    <w:name w:val="contenido"/>
    <w:basedOn w:val="Normal"/>
    <w:rsid w:val="00CF0FB6"/>
    <w:pPr>
      <w:spacing w:before="100" w:beforeAutospacing="1" w:after="100" w:afterAutospacing="1"/>
    </w:pPr>
  </w:style>
  <w:style w:type="character" w:styleId="Hipervnculo">
    <w:name w:val="Hyperlink"/>
    <w:basedOn w:val="Fuentedeprrafopredeter"/>
    <w:uiPriority w:val="99"/>
    <w:semiHidden/>
    <w:unhideWhenUsed/>
    <w:rsid w:val="00CF0FB6"/>
    <w:rPr>
      <w:color w:val="0000FF"/>
      <w:u w:val="single"/>
    </w:rPr>
  </w:style>
  <w:style w:type="character" w:styleId="Hipervnculovisitado">
    <w:name w:val="FollowedHyperlink"/>
    <w:basedOn w:val="Fuentedeprrafopredeter"/>
    <w:uiPriority w:val="99"/>
    <w:semiHidden/>
    <w:unhideWhenUsed/>
    <w:rsid w:val="00CF0FB6"/>
    <w:rPr>
      <w:color w:val="800080"/>
      <w:u w:val="single"/>
    </w:rPr>
  </w:style>
  <w:style w:type="character" w:customStyle="1" w:styleId="letters">
    <w:name w:val="letters"/>
    <w:basedOn w:val="Fuentedeprrafopredeter"/>
    <w:rsid w:val="00CF0FB6"/>
  </w:style>
  <w:style w:type="character" w:customStyle="1" w:styleId="who-modulo">
    <w:name w:val="who-modulo"/>
    <w:basedOn w:val="Fuentedeprrafopredeter"/>
    <w:rsid w:val="00CF0FB6"/>
  </w:style>
  <w:style w:type="character" w:customStyle="1" w:styleId="publishedat">
    <w:name w:val="publishedat"/>
    <w:basedOn w:val="Fuentedeprrafopredeter"/>
    <w:rsid w:val="00CF0FB6"/>
  </w:style>
  <w:style w:type="paragraph" w:customStyle="1" w:styleId="keepgoing">
    <w:name w:val="keep_going"/>
    <w:basedOn w:val="Normal"/>
    <w:rsid w:val="00CF0FB6"/>
    <w:pPr>
      <w:spacing w:before="100" w:beforeAutospacing="1" w:after="100" w:afterAutospacing="1"/>
    </w:pPr>
  </w:style>
  <w:style w:type="character" w:customStyle="1" w:styleId="boton-tema-seguir">
    <w:name w:val="boton-tema-seguir"/>
    <w:basedOn w:val="Fuentedeprrafopredeter"/>
    <w:rsid w:val="00CF0FB6"/>
  </w:style>
  <w:style w:type="character" w:customStyle="1" w:styleId="span-following">
    <w:name w:val="span-following"/>
    <w:basedOn w:val="Fuentedeprrafopredeter"/>
    <w:rsid w:val="00CF0FB6"/>
  </w:style>
  <w:style w:type="paragraph" w:customStyle="1" w:styleId="texto-informativo">
    <w:name w:val="texto-informativo"/>
    <w:basedOn w:val="Normal"/>
    <w:rsid w:val="00CF0FB6"/>
    <w:pPr>
      <w:spacing w:before="100" w:beforeAutospacing="1" w:after="100" w:afterAutospacing="1"/>
    </w:pPr>
  </w:style>
  <w:style w:type="character" w:customStyle="1" w:styleId="negrilla">
    <w:name w:val="negrilla"/>
    <w:basedOn w:val="Fuentedeprrafopredeter"/>
    <w:rsid w:val="00CF0FB6"/>
  </w:style>
  <w:style w:type="paragraph" w:customStyle="1" w:styleId="comment">
    <w:name w:val="comment"/>
    <w:basedOn w:val="Normal"/>
    <w:rsid w:val="00CF0FB6"/>
    <w:pPr>
      <w:spacing w:before="100" w:beforeAutospacing="1" w:after="100" w:afterAutospacing="1"/>
    </w:pPr>
  </w:style>
  <w:style w:type="character" w:customStyle="1" w:styleId="comentar">
    <w:name w:val="comentar"/>
    <w:basedOn w:val="Fuentedeprrafopredeter"/>
    <w:rsid w:val="00CF0FB6"/>
  </w:style>
  <w:style w:type="paragraph" w:customStyle="1" w:styleId="save">
    <w:name w:val="save"/>
    <w:basedOn w:val="Normal"/>
    <w:rsid w:val="00CF0FB6"/>
    <w:pPr>
      <w:spacing w:before="100" w:beforeAutospacing="1" w:after="100" w:afterAutospacing="1"/>
    </w:pPr>
  </w:style>
  <w:style w:type="paragraph" w:customStyle="1" w:styleId="reporta">
    <w:name w:val="reporta"/>
    <w:basedOn w:val="Normal"/>
    <w:rsid w:val="00CF0FB6"/>
    <w:pPr>
      <w:spacing w:before="100" w:beforeAutospacing="1" w:after="100" w:afterAutospacing="1"/>
    </w:pPr>
  </w:style>
  <w:style w:type="paragraph" w:customStyle="1" w:styleId="come-back-home">
    <w:name w:val="come-back-home"/>
    <w:basedOn w:val="Normal"/>
    <w:rsid w:val="00CF0FB6"/>
    <w:pPr>
      <w:spacing w:before="100" w:beforeAutospacing="1" w:after="100" w:afterAutospacing="1"/>
    </w:pPr>
  </w:style>
  <w:style w:type="paragraph" w:customStyle="1" w:styleId="store">
    <w:name w:val="store"/>
    <w:basedOn w:val="Normal"/>
    <w:rsid w:val="00CF0FB6"/>
    <w:pPr>
      <w:spacing w:before="100" w:beforeAutospacing="1" w:after="100" w:afterAutospacing="1"/>
    </w:pPr>
  </w:style>
  <w:style w:type="character" w:customStyle="1" w:styleId="endarticle">
    <w:name w:val="endarticle"/>
    <w:basedOn w:val="Fuentedeprrafopredeter"/>
    <w:rsid w:val="00CF0FB6"/>
  </w:style>
  <w:style w:type="paragraph" w:customStyle="1" w:styleId="active">
    <w:name w:val="active"/>
    <w:basedOn w:val="Normal"/>
    <w:rsid w:val="00CF0FB6"/>
    <w:pPr>
      <w:spacing w:before="100" w:beforeAutospacing="1" w:after="100" w:afterAutospacing="1"/>
    </w:pPr>
  </w:style>
  <w:style w:type="paragraph" w:customStyle="1" w:styleId="bogota">
    <w:name w:val="bogota"/>
    <w:basedOn w:val="Normal"/>
    <w:rsid w:val="00CF0FB6"/>
    <w:pPr>
      <w:spacing w:before="100" w:beforeAutospacing="1" w:after="100" w:afterAutospacing="1"/>
    </w:pPr>
  </w:style>
  <w:style w:type="paragraph" w:customStyle="1" w:styleId="medellin">
    <w:name w:val="medellin"/>
    <w:basedOn w:val="Normal"/>
    <w:rsid w:val="00CF0FB6"/>
    <w:pPr>
      <w:spacing w:before="100" w:beforeAutospacing="1" w:after="100" w:afterAutospacing="1"/>
    </w:pPr>
  </w:style>
  <w:style w:type="paragraph" w:customStyle="1" w:styleId="cali">
    <w:name w:val="cali"/>
    <w:basedOn w:val="Normal"/>
    <w:rsid w:val="00CF0FB6"/>
    <w:pPr>
      <w:spacing w:before="100" w:beforeAutospacing="1" w:after="100" w:afterAutospacing="1"/>
    </w:pPr>
  </w:style>
  <w:style w:type="paragraph" w:customStyle="1" w:styleId="barranquilla">
    <w:name w:val="barranquilla"/>
    <w:basedOn w:val="Normal"/>
    <w:rsid w:val="00CF0FB6"/>
    <w:pPr>
      <w:spacing w:before="100" w:beforeAutospacing="1" w:after="100" w:afterAutospacing="1"/>
    </w:pPr>
  </w:style>
  <w:style w:type="paragraph" w:customStyle="1" w:styleId="otras">
    <w:name w:val="otras"/>
    <w:basedOn w:val="Normal"/>
    <w:rsid w:val="00CF0FB6"/>
    <w:pPr>
      <w:spacing w:before="100" w:beforeAutospacing="1" w:after="100" w:afterAutospacing="1"/>
    </w:pPr>
  </w:style>
  <w:style w:type="paragraph" w:styleId="z-Principiodelformulario">
    <w:name w:val="HTML Top of Form"/>
    <w:basedOn w:val="Normal"/>
    <w:next w:val="Normal"/>
    <w:link w:val="z-PrincipiodelformularioCar"/>
    <w:hidden/>
    <w:uiPriority w:val="99"/>
    <w:semiHidden/>
    <w:unhideWhenUsed/>
    <w:rsid w:val="00CF0FB6"/>
    <w:pPr>
      <w:pBdr>
        <w:bottom w:val="single" w:sz="6" w:space="1" w:color="auto"/>
      </w:pBdr>
      <w:jc w:val="center"/>
    </w:pPr>
    <w:rPr>
      <w:rFonts w:ascii="Arial" w:hAnsi="Arial" w:cs="Arial"/>
      <w:vanish/>
      <w:sz w:val="16"/>
      <w:szCs w:val="16"/>
    </w:rPr>
  </w:style>
  <w:style w:type="character" w:customStyle="1" w:styleId="z-PrincipiodelformularioCar">
    <w:name w:val="z-Principio del formulario Car"/>
    <w:basedOn w:val="Fuentedeprrafopredeter"/>
    <w:link w:val="z-Principiodelformulario"/>
    <w:uiPriority w:val="99"/>
    <w:semiHidden/>
    <w:rsid w:val="00CF0FB6"/>
    <w:rPr>
      <w:rFonts w:ascii="Arial" w:eastAsia="Times New Roman" w:hAnsi="Arial" w:cs="Arial"/>
      <w:vanish/>
      <w:sz w:val="16"/>
      <w:szCs w:val="16"/>
      <w:lang w:eastAsia="es-CO"/>
    </w:rPr>
  </w:style>
  <w:style w:type="character" w:customStyle="1" w:styleId="checkmark">
    <w:name w:val="checkmark"/>
    <w:basedOn w:val="Fuentedeprrafopredeter"/>
    <w:rsid w:val="00CF0FB6"/>
  </w:style>
  <w:style w:type="character" w:customStyle="1" w:styleId="first-line-terms">
    <w:name w:val="first-line-terms"/>
    <w:basedOn w:val="Fuentedeprrafopredeter"/>
    <w:rsid w:val="00CF0FB6"/>
  </w:style>
  <w:style w:type="character" w:customStyle="1" w:styleId="politicas-visual-check">
    <w:name w:val="politicas-visual-check"/>
    <w:basedOn w:val="Fuentedeprrafopredeter"/>
    <w:rsid w:val="00CF0FB6"/>
  </w:style>
  <w:style w:type="paragraph" w:styleId="z-Finaldelformulario">
    <w:name w:val="HTML Bottom of Form"/>
    <w:basedOn w:val="Normal"/>
    <w:next w:val="Normal"/>
    <w:link w:val="z-FinaldelformularioCar"/>
    <w:hidden/>
    <w:uiPriority w:val="99"/>
    <w:semiHidden/>
    <w:unhideWhenUsed/>
    <w:rsid w:val="00CF0FB6"/>
    <w:pPr>
      <w:pBdr>
        <w:top w:val="single" w:sz="6" w:space="1" w:color="auto"/>
      </w:pBdr>
      <w:jc w:val="center"/>
    </w:pPr>
    <w:rPr>
      <w:rFonts w:ascii="Arial" w:hAnsi="Arial" w:cs="Arial"/>
      <w:vanish/>
      <w:sz w:val="16"/>
      <w:szCs w:val="16"/>
    </w:rPr>
  </w:style>
  <w:style w:type="character" w:customStyle="1" w:styleId="z-FinaldelformularioCar">
    <w:name w:val="z-Final del formulario Car"/>
    <w:basedOn w:val="Fuentedeprrafopredeter"/>
    <w:link w:val="z-Finaldelformulario"/>
    <w:uiPriority w:val="99"/>
    <w:semiHidden/>
    <w:rsid w:val="00CF0FB6"/>
    <w:rPr>
      <w:rFonts w:ascii="Arial" w:eastAsia="Times New Roman" w:hAnsi="Arial" w:cs="Arial"/>
      <w:vanish/>
      <w:sz w:val="16"/>
      <w:szCs w:val="16"/>
      <w:lang w:eastAsia="es-CO"/>
    </w:rPr>
  </w:style>
  <w:style w:type="character" w:customStyle="1" w:styleId="txt1">
    <w:name w:val="txt1"/>
    <w:basedOn w:val="Fuentedeprrafopredeter"/>
    <w:rsid w:val="00CF0FB6"/>
  </w:style>
  <w:style w:type="character" w:customStyle="1" w:styleId="txt2">
    <w:name w:val="txt2"/>
    <w:basedOn w:val="Fuentedeprrafopredeter"/>
    <w:rsid w:val="00CF0FB6"/>
  </w:style>
  <w:style w:type="character" w:customStyle="1" w:styleId="icon-flecha">
    <w:name w:val="icon-flecha"/>
    <w:basedOn w:val="Fuentedeprrafopredeter"/>
    <w:rsid w:val="00CF0FB6"/>
  </w:style>
  <w:style w:type="character" w:customStyle="1" w:styleId="trcrboxheaderspan">
    <w:name w:val="trc_rbox_header_span"/>
    <w:basedOn w:val="Fuentedeprrafopredeter"/>
    <w:rsid w:val="00CF0FB6"/>
  </w:style>
  <w:style w:type="character" w:customStyle="1" w:styleId="thumbblock">
    <w:name w:val="thumbblock"/>
    <w:basedOn w:val="Fuentedeprrafopredeter"/>
    <w:rsid w:val="00CF0FB6"/>
  </w:style>
  <w:style w:type="character" w:customStyle="1" w:styleId="thumbnail-overlay">
    <w:name w:val="thumbnail-overlay"/>
    <w:basedOn w:val="Fuentedeprrafopredeter"/>
    <w:rsid w:val="00CF0FB6"/>
  </w:style>
  <w:style w:type="character" w:customStyle="1" w:styleId="video-label-box">
    <w:name w:val="video-label-box"/>
    <w:basedOn w:val="Fuentedeprrafopredeter"/>
    <w:rsid w:val="00CF0FB6"/>
  </w:style>
  <w:style w:type="character" w:customStyle="1" w:styleId="video-label">
    <w:name w:val="video-label"/>
    <w:basedOn w:val="Fuentedeprrafopredeter"/>
    <w:rsid w:val="00CF0FB6"/>
  </w:style>
  <w:style w:type="character" w:customStyle="1" w:styleId="branding">
    <w:name w:val="branding"/>
    <w:basedOn w:val="Fuentedeprrafopredeter"/>
    <w:rsid w:val="00CF0FB6"/>
  </w:style>
  <w:style w:type="character" w:customStyle="1" w:styleId="Ttulo1Car">
    <w:name w:val="Título 1 Car"/>
    <w:basedOn w:val="Fuentedeprrafopredeter"/>
    <w:uiPriority w:val="9"/>
    <w:rsid w:val="00394A9A"/>
    <w:rPr>
      <w:rFonts w:asciiTheme="majorHAnsi" w:eastAsiaTheme="majorEastAsia" w:hAnsiTheme="majorHAnsi" w:cstheme="majorBidi"/>
      <w:color w:val="2F5496" w:themeColor="accent1" w:themeShade="BF"/>
      <w:sz w:val="32"/>
      <w:szCs w:val="32"/>
    </w:rPr>
  </w:style>
  <w:style w:type="character" w:customStyle="1" w:styleId="Ttulo4Car">
    <w:name w:val="Título 4 Car"/>
    <w:basedOn w:val="Fuentedeprrafopredeter"/>
    <w:uiPriority w:val="9"/>
    <w:semiHidden/>
    <w:rsid w:val="00C13D06"/>
    <w:rPr>
      <w:rFonts w:asciiTheme="majorHAnsi" w:eastAsiaTheme="majorEastAsia" w:hAnsiTheme="majorHAnsi" w:cstheme="majorBidi"/>
      <w:i/>
      <w:iCs/>
      <w:color w:val="2F5496" w:themeColor="accent1" w:themeShade="BF"/>
    </w:rPr>
  </w:style>
  <w:style w:type="character" w:styleId="Textoennegrita">
    <w:name w:val="Strong"/>
    <w:basedOn w:val="Fuentedeprrafopredeter"/>
    <w:uiPriority w:val="22"/>
    <w:qFormat/>
    <w:rsid w:val="00C13D06"/>
    <w:rPr>
      <w:b/>
      <w:bCs/>
    </w:rPr>
  </w:style>
  <w:style w:type="paragraph" w:styleId="Textoindependiente">
    <w:name w:val="Body Text"/>
    <w:basedOn w:val="Normal"/>
    <w:link w:val="TextoindependienteCar"/>
    <w:uiPriority w:val="99"/>
    <w:semiHidden/>
    <w:unhideWhenUsed/>
    <w:rsid w:val="002A2ABD"/>
    <w:pPr>
      <w:spacing w:after="120"/>
    </w:pPr>
  </w:style>
  <w:style w:type="character" w:customStyle="1" w:styleId="TextoindependienteCar">
    <w:name w:val="Texto independiente Car"/>
    <w:basedOn w:val="Fuentedeprrafopredeter"/>
    <w:link w:val="Textoindependiente"/>
    <w:uiPriority w:val="99"/>
    <w:semiHidden/>
    <w:rsid w:val="002A2ABD"/>
  </w:style>
  <w:style w:type="paragraph" w:styleId="Encabezado">
    <w:name w:val="header"/>
    <w:basedOn w:val="Normal"/>
    <w:link w:val="EncabezadoCar"/>
    <w:uiPriority w:val="99"/>
    <w:unhideWhenUsed/>
    <w:rsid w:val="00C103A3"/>
    <w:pPr>
      <w:tabs>
        <w:tab w:val="center" w:pos="4419"/>
        <w:tab w:val="right" w:pos="8838"/>
      </w:tabs>
    </w:pPr>
  </w:style>
  <w:style w:type="character" w:customStyle="1" w:styleId="EncabezadoCar">
    <w:name w:val="Encabezado Car"/>
    <w:basedOn w:val="Fuentedeprrafopredeter"/>
    <w:link w:val="Encabezado"/>
    <w:uiPriority w:val="99"/>
    <w:rsid w:val="00C103A3"/>
  </w:style>
  <w:style w:type="paragraph" w:styleId="Piedepgina">
    <w:name w:val="footer"/>
    <w:basedOn w:val="Normal"/>
    <w:link w:val="PiedepginaCar"/>
    <w:uiPriority w:val="99"/>
    <w:unhideWhenUsed/>
    <w:rsid w:val="00C103A3"/>
    <w:pPr>
      <w:tabs>
        <w:tab w:val="center" w:pos="4419"/>
        <w:tab w:val="right" w:pos="8838"/>
      </w:tabs>
    </w:pPr>
  </w:style>
  <w:style w:type="character" w:customStyle="1" w:styleId="PiedepginaCar">
    <w:name w:val="Pie de página Car"/>
    <w:basedOn w:val="Fuentedeprrafopredeter"/>
    <w:link w:val="Piedepgina"/>
    <w:uiPriority w:val="99"/>
    <w:rsid w:val="00C103A3"/>
  </w:style>
  <w:style w:type="character" w:customStyle="1" w:styleId="apple-converted-space">
    <w:name w:val="apple-converted-space"/>
    <w:basedOn w:val="Fuentedeprrafopredeter"/>
    <w:rsid w:val="00084DFC"/>
  </w:style>
  <w:style w:type="paragraph" w:styleId="Textonotapie">
    <w:name w:val="footnote text"/>
    <w:basedOn w:val="Normal"/>
    <w:link w:val="TextonotapieCar"/>
    <w:uiPriority w:val="99"/>
    <w:semiHidden/>
    <w:unhideWhenUsed/>
    <w:rsid w:val="00227828"/>
    <w:rPr>
      <w:rFonts w:asciiTheme="minorHAnsi" w:eastAsiaTheme="minorHAnsi" w:hAnsiTheme="minorHAnsi" w:cstheme="minorBidi"/>
      <w:sz w:val="20"/>
      <w:szCs w:val="20"/>
      <w:lang w:eastAsia="en-US"/>
    </w:rPr>
  </w:style>
  <w:style w:type="character" w:customStyle="1" w:styleId="TextonotapieCar">
    <w:name w:val="Texto nota pie Car"/>
    <w:basedOn w:val="Fuentedeprrafopredeter"/>
    <w:link w:val="Textonotapie"/>
    <w:uiPriority w:val="99"/>
    <w:semiHidden/>
    <w:rsid w:val="00227828"/>
    <w:rPr>
      <w:sz w:val="20"/>
      <w:szCs w:val="20"/>
    </w:rPr>
  </w:style>
  <w:style w:type="character" w:styleId="Refdenotaalpie">
    <w:name w:val="footnote reference"/>
    <w:basedOn w:val="Fuentedeprrafopredeter"/>
    <w:uiPriority w:val="99"/>
    <w:semiHidden/>
    <w:unhideWhenUsed/>
    <w:rsid w:val="00227828"/>
    <w:rPr>
      <w:vertAlign w:val="superscript"/>
    </w:rPr>
  </w:style>
  <w:style w:type="paragraph" w:customStyle="1" w:styleId="Cuerpo">
    <w:name w:val="Cuerpo"/>
    <w:rsid w:val="00AF1EB7"/>
    <w:pPr>
      <w:pBdr>
        <w:top w:val="nil"/>
        <w:left w:val="nil"/>
        <w:bottom w:val="nil"/>
        <w:right w:val="nil"/>
        <w:between w:val="nil"/>
        <w:bar w:val="nil"/>
      </w:pBdr>
    </w:pPr>
    <w:rPr>
      <w:rFonts w:eastAsia="Arial Unicode MS" w:cs="Arial Unicode MS"/>
      <w:color w:val="000000"/>
      <w:u w:color="000000"/>
      <w:bdr w:val="nil"/>
      <w14:textOutline w14:w="0" w14:cap="flat" w14:cmpd="sng" w14:algn="ctr">
        <w14:noFill/>
        <w14:prstDash w14:val="solid"/>
        <w14:bevel/>
      </w14:textOutline>
    </w:rPr>
  </w:style>
  <w:style w:type="character" w:customStyle="1" w:styleId="Ninguno">
    <w:name w:val="Ninguno"/>
    <w:rsid w:val="00AF1EB7"/>
  </w:style>
  <w:style w:type="table" w:customStyle="1" w:styleId="a">
    <w:basedOn w:val="TableNormal1"/>
    <w:tblPr>
      <w:tblStyleRowBandSize w:val="1"/>
      <w:tblStyleColBandSize w:val="1"/>
      <w:tblCellMar>
        <w:top w:w="100" w:type="dxa"/>
        <w:left w:w="100" w:type="dxa"/>
        <w:bottom w:w="100" w:type="dxa"/>
        <w:right w:w="100" w:type="dxa"/>
      </w:tblCellMar>
    </w:tblPr>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table" w:customStyle="1" w:styleId="a2">
    <w:basedOn w:val="TableNormal1"/>
    <w:tblPr>
      <w:tblStyleRowBandSize w:val="1"/>
      <w:tblStyleColBandSize w:val="1"/>
      <w:tblCellMar>
        <w:left w:w="115" w:type="dxa"/>
        <w:right w:w="115" w:type="dxa"/>
      </w:tblCellMar>
    </w:tblPr>
  </w:style>
  <w:style w:type="character" w:styleId="Refdecomentario">
    <w:name w:val="annotation reference"/>
    <w:basedOn w:val="Fuentedeprrafopredeter"/>
    <w:uiPriority w:val="99"/>
    <w:semiHidden/>
    <w:unhideWhenUsed/>
    <w:rsid w:val="002C50D1"/>
    <w:rPr>
      <w:sz w:val="16"/>
      <w:szCs w:val="16"/>
    </w:rPr>
  </w:style>
  <w:style w:type="paragraph" w:styleId="Textocomentario">
    <w:name w:val="annotation text"/>
    <w:basedOn w:val="Normal"/>
    <w:link w:val="TextocomentarioCar"/>
    <w:uiPriority w:val="99"/>
    <w:semiHidden/>
    <w:unhideWhenUsed/>
    <w:rsid w:val="002C50D1"/>
    <w:rPr>
      <w:sz w:val="20"/>
      <w:szCs w:val="20"/>
    </w:rPr>
  </w:style>
  <w:style w:type="character" w:customStyle="1" w:styleId="TextocomentarioCar">
    <w:name w:val="Texto comentario Car"/>
    <w:basedOn w:val="Fuentedeprrafopredeter"/>
    <w:link w:val="Textocomentario"/>
    <w:uiPriority w:val="99"/>
    <w:semiHidden/>
    <w:rsid w:val="002C50D1"/>
    <w:rPr>
      <w:sz w:val="20"/>
      <w:szCs w:val="20"/>
      <w:lang w:eastAsia="es-ES_tradnl"/>
    </w:rPr>
  </w:style>
  <w:style w:type="paragraph" w:styleId="Asuntodelcomentario">
    <w:name w:val="annotation subject"/>
    <w:basedOn w:val="Textocomentario"/>
    <w:next w:val="Textocomentario"/>
    <w:link w:val="AsuntodelcomentarioCar"/>
    <w:uiPriority w:val="99"/>
    <w:semiHidden/>
    <w:unhideWhenUsed/>
    <w:rsid w:val="002C50D1"/>
    <w:rPr>
      <w:b/>
      <w:bCs/>
    </w:rPr>
  </w:style>
  <w:style w:type="character" w:customStyle="1" w:styleId="AsuntodelcomentarioCar">
    <w:name w:val="Asunto del comentario Car"/>
    <w:basedOn w:val="TextocomentarioCar"/>
    <w:link w:val="Asuntodelcomentario"/>
    <w:uiPriority w:val="99"/>
    <w:semiHidden/>
    <w:rsid w:val="002C50D1"/>
    <w:rPr>
      <w:b/>
      <w:bCs/>
      <w:sz w:val="20"/>
      <w:szCs w:val="20"/>
      <w:lang w:eastAsia="es-ES_tradnl"/>
    </w:rPr>
  </w:style>
  <w:style w:type="paragraph" w:styleId="Textodeglobo">
    <w:name w:val="Balloon Text"/>
    <w:basedOn w:val="Normal"/>
    <w:link w:val="TextodegloboCar"/>
    <w:uiPriority w:val="99"/>
    <w:semiHidden/>
    <w:unhideWhenUsed/>
    <w:rsid w:val="002C50D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C50D1"/>
    <w:rPr>
      <w:rFonts w:ascii="Segoe UI" w:hAnsi="Segoe UI" w:cs="Segoe UI"/>
      <w:sz w:val="18"/>
      <w:szCs w:val="18"/>
      <w:lang w:eastAsia="es-ES_tradnl"/>
    </w:rPr>
  </w:style>
  <w:style w:type="table" w:customStyle="1" w:styleId="a3">
    <w:basedOn w:val="TableNormal1"/>
    <w:tblPr>
      <w:tblStyleRowBandSize w:val="1"/>
      <w:tblStyleColBandSize w:val="1"/>
      <w:tblCellMar>
        <w:top w:w="100" w:type="dxa"/>
        <w:left w:w="100" w:type="dxa"/>
        <w:bottom w:w="100" w:type="dxa"/>
        <w:right w:w="100" w:type="dxa"/>
      </w:tblCellMar>
    </w:tblPr>
  </w:style>
  <w:style w:type="table" w:customStyle="1" w:styleId="a4">
    <w:basedOn w:val="TableNormal1"/>
    <w:tblPr>
      <w:tblStyleRowBandSize w:val="1"/>
      <w:tblStyleColBandSize w:val="1"/>
      <w:tblCellMar>
        <w:left w:w="108" w:type="dxa"/>
        <w:right w:w="108" w:type="dxa"/>
      </w:tblCellMar>
    </w:tblPr>
  </w:style>
  <w:style w:type="table" w:customStyle="1" w:styleId="a5">
    <w:basedOn w:val="TableNormal1"/>
    <w:tblPr>
      <w:tblStyleRowBandSize w:val="1"/>
      <w:tblStyleColBandSize w:val="1"/>
      <w:tblCellMar>
        <w:top w:w="100" w:type="dxa"/>
        <w:left w:w="100" w:type="dxa"/>
        <w:bottom w:w="100" w:type="dxa"/>
        <w:right w:w="100" w:type="dxa"/>
      </w:tblCellMar>
    </w:tblPr>
  </w:style>
  <w:style w:type="table" w:customStyle="1" w:styleId="a6">
    <w:basedOn w:val="TableNormal1"/>
    <w:tblPr>
      <w:tblStyleRowBandSize w:val="1"/>
      <w:tblStyleColBandSize w:val="1"/>
      <w:tblCellMar>
        <w:top w:w="100" w:type="dxa"/>
        <w:left w:w="100" w:type="dxa"/>
        <w:bottom w:w="100" w:type="dxa"/>
        <w:right w:w="100" w:type="dxa"/>
      </w:tblCellMar>
    </w:tblPr>
  </w:style>
  <w:style w:type="table" w:customStyle="1" w:styleId="a7">
    <w:basedOn w:val="TableNormal1"/>
    <w:tblPr>
      <w:tblStyleRowBandSize w:val="1"/>
      <w:tblStyleColBandSize w:val="1"/>
      <w:tblCellMar>
        <w:left w:w="115" w:type="dxa"/>
        <w:right w:w="115" w:type="dxa"/>
      </w:tblCellMar>
    </w:tblPr>
  </w:style>
  <w:style w:type="table" w:styleId="Tablaconcuadrcula">
    <w:name w:val="Table Grid"/>
    <w:basedOn w:val="Tablanormal"/>
    <w:uiPriority w:val="39"/>
    <w:rsid w:val="00E90D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uiPriority w:val="11"/>
    <w:qFormat/>
    <w:pPr>
      <w:keepNext/>
      <w:keepLines/>
      <w:spacing w:before="240" w:after="240" w:line="276" w:lineRule="auto"/>
      <w:ind w:firstLine="720"/>
      <w:jc w:val="both"/>
    </w:pPr>
    <w:rPr>
      <w:rFonts w:ascii="Arial" w:eastAsia="Arial" w:hAnsi="Arial" w:cs="Arial"/>
      <w:b/>
      <w:i/>
      <w:color w:val="FF0000"/>
      <w:sz w:val="22"/>
      <w:szCs w:val="22"/>
    </w:rPr>
  </w:style>
  <w:style w:type="table" w:customStyle="1" w:styleId="a8">
    <w:basedOn w:val="TableNormal0"/>
    <w:tblPr>
      <w:tblStyleRowBandSize w:val="1"/>
      <w:tblStyleColBandSize w:val="1"/>
      <w:tblCellMar>
        <w:top w:w="100" w:type="dxa"/>
        <w:left w:w="100" w:type="dxa"/>
        <w:bottom w:w="100" w:type="dxa"/>
        <w:right w:w="100" w:type="dxa"/>
      </w:tblCellMar>
    </w:tblPr>
  </w:style>
  <w:style w:type="table" w:customStyle="1" w:styleId="a9">
    <w:basedOn w:val="TableNormal0"/>
    <w:tblPr>
      <w:tblStyleRowBandSize w:val="1"/>
      <w:tblStyleColBandSize w:val="1"/>
      <w:tblCellMar>
        <w:left w:w="108" w:type="dxa"/>
        <w:right w:w="108" w:type="dxa"/>
      </w:tblCellMar>
    </w:tblPr>
  </w:style>
  <w:style w:type="table" w:customStyle="1" w:styleId="aa">
    <w:basedOn w:val="TableNormal0"/>
    <w:tblPr>
      <w:tblStyleRowBandSize w:val="1"/>
      <w:tblStyleColBandSize w:val="1"/>
      <w:tblCellMar>
        <w:top w:w="100" w:type="dxa"/>
        <w:left w:w="100" w:type="dxa"/>
        <w:bottom w:w="100" w:type="dxa"/>
        <w:right w:w="100" w:type="dxa"/>
      </w:tblCellMar>
    </w:tblPr>
  </w:style>
  <w:style w:type="table" w:customStyle="1" w:styleId="ab">
    <w:basedOn w:val="TableNormal0"/>
    <w:tblPr>
      <w:tblStyleRowBandSize w:val="1"/>
      <w:tblStyleColBandSize w:val="1"/>
      <w:tblCellMar>
        <w:left w:w="108" w:type="dxa"/>
        <w:right w:w="108" w:type="dxa"/>
      </w:tblCellMar>
    </w:tblPr>
  </w:style>
  <w:style w:type="table" w:customStyle="1" w:styleId="ac">
    <w:basedOn w:val="TableNormal0"/>
    <w:tblPr>
      <w:tblStyleRowBandSize w:val="1"/>
      <w:tblStyleColBandSize w:val="1"/>
      <w:tblCellMar>
        <w:top w:w="100" w:type="dxa"/>
        <w:left w:w="100" w:type="dxa"/>
        <w:bottom w:w="100" w:type="dxa"/>
        <w:right w:w="100" w:type="dxa"/>
      </w:tblCellMar>
    </w:tblPr>
  </w:style>
  <w:style w:type="table" w:customStyle="1" w:styleId="ad">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alcaldiabogota.gov.co/sisjur/normas/Norma1.jsp?i=69451" TargetMode="External"/><Relationship Id="rId18" Type="http://schemas.openxmlformats.org/officeDocument/2006/relationships/hyperlink" Target="https://www.alcaldiabogota.gov.co/sisjur/normas/Norma1.jsp?i=16212" TargetMode="External"/><Relationship Id="rId26" Type="http://schemas.openxmlformats.org/officeDocument/2006/relationships/hyperlink" Target="https://www.alcaldiabogota.gov.co/sisjur/normas/Norma1.jsp?i=69450" TargetMode="External"/><Relationship Id="rId39" Type="http://schemas.openxmlformats.org/officeDocument/2006/relationships/hyperlink" Target="https://www.corteconstitucional.gov.co/relatoria/2023/t-064-23.htm" TargetMode="External"/><Relationship Id="rId21" Type="http://schemas.openxmlformats.org/officeDocument/2006/relationships/hyperlink" Target="https://www.alcaldiabogota.gov.co/sisjur/normas/Norma1.jsp?i=38066" TargetMode="External"/><Relationship Id="rId34" Type="http://schemas.openxmlformats.org/officeDocument/2006/relationships/hyperlink" Target="https://www.alcaldiabogota.gov.co/sisjur/normas/Norma1.jsp?i=148758" TargetMode="External"/><Relationship Id="rId42" Type="http://schemas.openxmlformats.org/officeDocument/2006/relationships/hyperlink" Target="https://www.corteconstitucional.gov.co/relatoria/2023/t-267-23.htm" TargetMode="External"/><Relationship Id="rId47" Type="http://schemas.openxmlformats.org/officeDocument/2006/relationships/hyperlink" Target="https://www.corteconstitucional.gov.co/relatoria/2024/t-434-24.htm" TargetMode="External"/><Relationship Id="rId50" Type="http://schemas.openxmlformats.org/officeDocument/2006/relationships/hyperlink" Target="https://www.corteconstitucional.gov.co/relatoria/2024/t-401-24.htm" TargetMode="External"/><Relationship Id="rId55"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alcaldiabogota.gov.co/sisjur/normas/Norma1.jsp?i=148758" TargetMode="External"/><Relationship Id="rId29" Type="http://schemas.openxmlformats.org/officeDocument/2006/relationships/hyperlink" Target="https://www.alcaldiabogota.gov.co/sisjur/normas/Norma1.jsp?i=76950" TargetMode="External"/><Relationship Id="rId11" Type="http://schemas.openxmlformats.org/officeDocument/2006/relationships/hyperlink" Target="https://www.alcaldiabogota.gov.co/sisjur/normas/Norma1.jsp?i=48201" TargetMode="External"/><Relationship Id="rId24" Type="http://schemas.openxmlformats.org/officeDocument/2006/relationships/hyperlink" Target="https://www.alcaldiabogota.gov.co/sisjur/normas/Norma1.jsp?i=48201" TargetMode="External"/><Relationship Id="rId32" Type="http://schemas.openxmlformats.org/officeDocument/2006/relationships/hyperlink" Target="https://sisjur.bogotajuridica.gov.co/sisjur/normas/Norma1.jsp?i=116903" TargetMode="External"/><Relationship Id="rId37" Type="http://schemas.openxmlformats.org/officeDocument/2006/relationships/hyperlink" Target="https://www.corteconstitucional.gov.co/relatoria/2022/t-245a-22.htm" TargetMode="External"/><Relationship Id="rId40" Type="http://schemas.openxmlformats.org/officeDocument/2006/relationships/hyperlink" Target="https://www.corteconstitucional.gov.co/relatoria/2023/t-181-23.htm" TargetMode="External"/><Relationship Id="rId45" Type="http://schemas.openxmlformats.org/officeDocument/2006/relationships/hyperlink" Target="https://www.corteconstitucional.gov.co/relatoria/2024/t-130-24.htm" TargetMode="External"/><Relationship Id="rId53" Type="http://schemas.openxmlformats.org/officeDocument/2006/relationships/hyperlink" Target="https://www.who.int/news-room/fact-sheets/detail/violence-against-children"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www.alcaldiabogota.gov.co/sisjur/normas/Norma1.jsp?i=38265" TargetMode="External"/><Relationship Id="rId4" Type="http://schemas.openxmlformats.org/officeDocument/2006/relationships/settings" Target="settings.xml"/><Relationship Id="rId9" Type="http://schemas.openxmlformats.org/officeDocument/2006/relationships/hyperlink" Target="https://www.alcaldiabogota.gov.co/sisjur/normas/Norma1.jsp?i=38265" TargetMode="External"/><Relationship Id="rId14" Type="http://schemas.openxmlformats.org/officeDocument/2006/relationships/hyperlink" Target="https://www.alcaldiabogota.gov.co/sisjur/normas/Norma1.jsp?i=76950" TargetMode="External"/><Relationship Id="rId22" Type="http://schemas.openxmlformats.org/officeDocument/2006/relationships/hyperlink" Target="https://www.alcaldiabogota.gov.co/sisjur/normas/Norma1.jsp?i=38066" TargetMode="External"/><Relationship Id="rId27" Type="http://schemas.openxmlformats.org/officeDocument/2006/relationships/hyperlink" Target="https://www.alcaldiabogota.gov.co/sisjur/normas/Norma1.jsp?i=69451" TargetMode="External"/><Relationship Id="rId30" Type="http://schemas.openxmlformats.org/officeDocument/2006/relationships/hyperlink" Target="https://www.alcaldiabogota.gov.co/sisjur/normas/Norma1.jsp?i=76950" TargetMode="External"/><Relationship Id="rId35" Type="http://schemas.openxmlformats.org/officeDocument/2006/relationships/hyperlink" Target="https://www.corteconstitucional.gov.co/relatoria/2003/t-510-03.htm" TargetMode="External"/><Relationship Id="rId43" Type="http://schemas.openxmlformats.org/officeDocument/2006/relationships/hyperlink" Target="https://www.corteconstitucional.gov.co/relatoria/2023/t-526-23.htm" TargetMode="External"/><Relationship Id="rId48" Type="http://schemas.openxmlformats.org/officeDocument/2006/relationships/hyperlink" Target="https://www.corteconstitucional.gov.co/relatoria/2025/t-027-25.htm" TargetMode="External"/><Relationship Id="rId56" Type="http://schemas.openxmlformats.org/officeDocument/2006/relationships/footer" Target="footer1.xml"/><Relationship Id="rId8" Type="http://schemas.openxmlformats.org/officeDocument/2006/relationships/hyperlink" Target="https://www.alcaldiabogota.gov.co/sisjur/normas/Norma1.jsp?i=16212" TargetMode="External"/><Relationship Id="rId51" Type="http://schemas.openxmlformats.org/officeDocument/2006/relationships/hyperlink" Target="https://www.alcaldiabogota.gov.co/sisjur/normas/Norma1.jsp?i=175738" TargetMode="External"/><Relationship Id="rId3" Type="http://schemas.openxmlformats.org/officeDocument/2006/relationships/styles" Target="styles.xml"/><Relationship Id="rId12" Type="http://schemas.openxmlformats.org/officeDocument/2006/relationships/hyperlink" Target="https://www.alcaldiabogota.gov.co/sisjur/normas/Norma1.jsp?i=69450" TargetMode="External"/><Relationship Id="rId17" Type="http://schemas.openxmlformats.org/officeDocument/2006/relationships/hyperlink" Target="https://www.alcaldiabogota.gov.co/sisjur/normas/Norma1.jsp?i=16212" TargetMode="External"/><Relationship Id="rId25" Type="http://schemas.openxmlformats.org/officeDocument/2006/relationships/hyperlink" Target="https://www.alcaldiabogota.gov.co/sisjur/normas/Norma1.jsp?i=69450" TargetMode="External"/><Relationship Id="rId33" Type="http://schemas.openxmlformats.org/officeDocument/2006/relationships/hyperlink" Target="https://www.alcaldiabogota.gov.co/sisjur/normas/Norma1.jsp?i=148758" TargetMode="External"/><Relationship Id="rId38" Type="http://schemas.openxmlformats.org/officeDocument/2006/relationships/hyperlink" Target="https://www.corteconstitucional.gov.co/relatoria/2023/t-028-23.htm" TargetMode="External"/><Relationship Id="rId46" Type="http://schemas.openxmlformats.org/officeDocument/2006/relationships/hyperlink" Target="https://www.corteconstitucional.gov.co/relatoria/2024/t-261-24.htm" TargetMode="External"/><Relationship Id="rId20" Type="http://schemas.openxmlformats.org/officeDocument/2006/relationships/hyperlink" Target="https://www.alcaldiabogota.gov.co/sisjur/normas/Norma1.jsp?i=38265" TargetMode="External"/><Relationship Id="rId41" Type="http://schemas.openxmlformats.org/officeDocument/2006/relationships/hyperlink" Target="https://www.corteconstitucional.gov.co/relatoria/2023/t-219-23.htm" TargetMode="External"/><Relationship Id="rId54" Type="http://schemas.openxmlformats.org/officeDocument/2006/relationships/hyperlink" Target="https://doi.org/10.5093/ejpalc2024a7"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isjur.bogotajuridica.gov.co/sisjur/normas/Norma1.jsp?i=116903" TargetMode="External"/><Relationship Id="rId23" Type="http://schemas.openxmlformats.org/officeDocument/2006/relationships/hyperlink" Target="https://www.alcaldiabogota.gov.co/sisjur/normas/Norma1.jsp?i=48201" TargetMode="External"/><Relationship Id="rId28" Type="http://schemas.openxmlformats.org/officeDocument/2006/relationships/hyperlink" Target="https://www.alcaldiabogota.gov.co/sisjur/normas/Norma1.jsp?i=69451" TargetMode="External"/><Relationship Id="rId36" Type="http://schemas.openxmlformats.org/officeDocument/2006/relationships/hyperlink" Target="https://www.corteconstitucional.gov.co/relatoria/2020/su080-20.htm" TargetMode="External"/><Relationship Id="rId49" Type="http://schemas.openxmlformats.org/officeDocument/2006/relationships/hyperlink" Target="https://www.alcaldiabogota.gov.co/sisjur/normas/Norma1.jsp?i=178602" TargetMode="External"/><Relationship Id="rId57" Type="http://schemas.openxmlformats.org/officeDocument/2006/relationships/fontTable" Target="fontTable.xml"/><Relationship Id="rId10" Type="http://schemas.openxmlformats.org/officeDocument/2006/relationships/hyperlink" Target="https://www.alcaldiabogota.gov.co/sisjur/normas/Norma1.jsp?i=38066" TargetMode="External"/><Relationship Id="rId31" Type="http://schemas.openxmlformats.org/officeDocument/2006/relationships/hyperlink" Target="https://sisjur.bogotajuridica.gov.co/sisjur/normas/Norma1.jsp?i=116903" TargetMode="External"/><Relationship Id="rId44" Type="http://schemas.openxmlformats.org/officeDocument/2006/relationships/hyperlink" Target="https://www.corteconstitucional.gov.co/relatoria/2025/t-059-25.htm" TargetMode="External"/><Relationship Id="rId52" Type="http://schemas.openxmlformats.org/officeDocument/2006/relationships/hyperlink" Target="https://saludata.saludcapital.gov.co/osb/indicadores/violencia-intrafamilia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k4kgFq1JOCWUPAyeedjHW/0Yyg==">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8241</Words>
  <Characters>45329</Characters>
  <Application>Microsoft Office Word</Application>
  <DocSecurity>0</DocSecurity>
  <Lines>377</Lines>
  <Paragraphs>106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OSCAR SANCHEZ</dc:creator>
  <cp:lastModifiedBy>Gerencia</cp:lastModifiedBy>
  <cp:revision>3</cp:revision>
  <cp:lastPrinted>2025-08-21T20:07:00Z</cp:lastPrinted>
  <dcterms:created xsi:type="dcterms:W3CDTF">2025-08-21T20:08:00Z</dcterms:created>
  <dcterms:modified xsi:type="dcterms:W3CDTF">2025-08-21T20:13:00Z</dcterms:modified>
</cp:coreProperties>
</file>